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383F">
      <w:pPr>
        <w:pStyle w:val="ConsPlusTitle"/>
        <w:pageBreakBefore/>
        <w:jc w:val="center"/>
      </w:pPr>
      <w:bookmarkStart w:id="0" w:name="_GoBack"/>
      <w:bookmarkEnd w:id="0"/>
      <w:r>
        <w:rPr>
          <w:rStyle w:val="1"/>
          <w:rFonts w:ascii="Liberation Serif" w:hAnsi="Liberation Serif" w:cs="Liberation Serif"/>
          <w:sz w:val="28"/>
          <w:szCs w:val="28"/>
        </w:rPr>
        <w:t>УВЕДОМЛЕНИЕ</w:t>
      </w:r>
    </w:p>
    <w:p w:rsidR="00000000" w:rsidRDefault="0022383F">
      <w:pPr>
        <w:pStyle w:val="ConsPlusTitle"/>
        <w:jc w:val="center"/>
      </w:pPr>
      <w:r>
        <w:rPr>
          <w:rStyle w:val="1"/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средней степени регулирующего воздействия</w:t>
      </w:r>
    </w:p>
    <w:p w:rsidR="00000000" w:rsidRDefault="0022383F">
      <w:pPr>
        <w:pStyle w:val="ConsPlusTitle"/>
        <w:jc w:val="center"/>
        <w:rPr>
          <w:rFonts w:ascii="Liberation Serif" w:hAnsi="Liberation Serif" w:cs="Liberation Serif"/>
          <w:b w:val="0"/>
          <w:dstrike/>
          <w:sz w:val="28"/>
          <w:szCs w:val="28"/>
        </w:rPr>
      </w:pPr>
    </w:p>
    <w:tbl>
      <w:tblPr>
        <w:tblW w:w="0" w:type="auto"/>
        <w:tblInd w:w="-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360"/>
        <w:gridCol w:w="568"/>
        <w:gridCol w:w="567"/>
        <w:gridCol w:w="709"/>
        <w:gridCol w:w="427"/>
        <w:gridCol w:w="144"/>
        <w:gridCol w:w="774"/>
        <w:gridCol w:w="74"/>
        <w:gridCol w:w="569"/>
        <w:gridCol w:w="734"/>
        <w:gridCol w:w="1316"/>
        <w:gridCol w:w="76"/>
        <w:gridCol w:w="66"/>
        <w:gridCol w:w="2060"/>
      </w:tblGrid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Вид, наименование проекта акта: 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Решен</w:t>
            </w: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ие Думы Городского округа «город Ирбит» Свердловской области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«</w:t>
            </w:r>
            <w:r>
              <w:rPr>
                <w:rStyle w:val="1"/>
                <w:rFonts w:ascii="Liberation Serif" w:hAnsi="Liberation Serif" w:cs="Liberation Serif"/>
                <w:i/>
                <w:iCs/>
                <w:sz w:val="28"/>
                <w:szCs w:val="28"/>
              </w:rPr>
              <w:t>Об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утверждении  Положения о муниципальном лесном контроле на территории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«город Ирбит» Свердловской области»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Планируемый срок вступления в силу: с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1 января 2022 года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ия о разработчике проекта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 местного самоуправления муниципального образования, разработавший проект акта (далее – разработчик): 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Администрация Городского округа «город Ирбит» Свердловской области</w:t>
            </w:r>
          </w:p>
          <w:p w:rsidR="00000000" w:rsidRDefault="0022383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профильном органе, проводящем оценку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регулирующего воздействия: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Отдел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городского хозяйства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администрации Городского округа «город Ирбит» Свердловской области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Ф.И.О. исполнителя профильного органа: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Г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ладкова Ольга Валерьевна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Должность: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начальник отдела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городского хозяйства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Тел.: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8(34355) 6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-5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6-04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bookmarkStart w:id="2" w:name="P69"/>
            <w:bookmarkStart w:id="3" w:name="P66"/>
            <w:bookmarkEnd w:id="2"/>
            <w:bookmarkEnd w:id="3"/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6" w:anchor="_blank" w:history="1">
              <w:r>
                <w:rPr>
                  <w:rStyle w:val="a8"/>
                </w:rPr>
                <w:t>http://</w:t>
              </w:r>
              <w:r>
                <w:rPr>
                  <w:rStyle w:val="a8"/>
                </w:rPr>
                <w:t>regulation.midural.ru/</w:t>
              </w:r>
            </w:hyperlink>
            <w:r>
              <w:rPr>
                <w:rStyle w:val="1"/>
                <w:rFonts w:ascii="Liberation Serif" w:hAnsi="Liberation Serif" w:cs="Liberation Serif"/>
                <w:color w:val="002060"/>
                <w:sz w:val="28"/>
                <w:szCs w:val="28"/>
              </w:rPr>
              <w:t xml:space="preserve"> 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4.1. Степень регулирующего воздействия проекта акта: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средняя</w:t>
            </w:r>
          </w:p>
          <w:p w:rsidR="00000000" w:rsidRDefault="0022383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 Обоснование отнесения проекта акта к определенной степени регулирующего воздействия: 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проект акта содержит поло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жения, изменяющие ранее предусмотренные нормативными правовыми актами обязанности для субъектов предпринимательской и инвестиционной деятельности </w:t>
            </w:r>
          </w:p>
          <w:p w:rsidR="00000000" w:rsidRDefault="0022383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4.3. Срок проведения публичных консультаций: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15 рабочих дней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влен предлагаемый способ регулирования, оценка негативных эффектов, возникающих в 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000000">
        <w:trPr>
          <w:trHeight w:val="1237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sectPr w:rsidR="00000000">
                <w:headerReference w:type="default" r:id="rId7"/>
                <w:headerReference w:type="first" r:id="rId8"/>
                <w:pgSz w:w="11906" w:h="16838"/>
                <w:pgMar w:top="1134" w:right="850" w:bottom="708" w:left="1701" w:header="708" w:footer="720" w:gutter="0"/>
                <w:cols w:space="720"/>
                <w:titlePg/>
                <w:docGrid w:linePitch="312" w:charSpace="-2049"/>
              </w:sect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000000" w:rsidRDefault="0022383F">
            <w:pPr>
              <w:pStyle w:val="12"/>
              <w:overflowPunct/>
              <w:autoSpaceDE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lastRenderedPageBreak/>
              <w:t>Невоз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можность осуществлять муниципальный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лесной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контроль администрацией Городского округа «город Ирбит» Свердловской области             в соответствии с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lastRenderedPageBreak/>
              <w:t>требованиями федерального законодательства, установленных Федеральным законом от 31 июля 2020 года № 248-ФЗ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«О государственном контроле (надзоре) и муниципальном контроле в Российской Федерации»</w:t>
            </w:r>
            <w:bookmarkStart w:id="7" w:name="P88"/>
            <w:bookmarkEnd w:id="7"/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 </w:t>
            </w:r>
          </w:p>
          <w:p w:rsidR="00000000" w:rsidRDefault="0022383F">
            <w:pPr>
              <w:pStyle w:val="12"/>
              <w:overflowPunct/>
              <w:autoSpaceDE/>
              <w:jc w:val="both"/>
              <w:textAlignment w:val="auto"/>
              <w:rPr>
                <w:rFonts w:ascii="Liberation Serif" w:hAnsi="Liberation Serif" w:cs="Liberation Serif"/>
                <w:i/>
                <w:szCs w:val="28"/>
              </w:rPr>
            </w:pPr>
          </w:p>
          <w:p w:rsidR="00000000" w:rsidRDefault="0022383F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5.2. Негативные эффекты, возникающие в связи с наличием проблемы:</w:t>
            </w:r>
            <w:bookmarkStart w:id="8" w:name="P94"/>
            <w:bookmarkStart w:id="9" w:name="P91"/>
            <w:bookmarkEnd w:id="8"/>
            <w:bookmarkEnd w:id="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требований, в соответствующей сфере деятельности</w:t>
            </w:r>
          </w:p>
          <w:p w:rsidR="00000000" w:rsidRDefault="0022383F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5.3.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ведомственная статистика,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онсультант плюс»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10" w:name="P103"/>
            <w:bookmarkEnd w:id="10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Анализ регионального опыта в соответствующих сферах деятельности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 Региональный опыт в соответствующих сферах: 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муниципальный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лесной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контроль осуществляется на всей территории Свердловской области, во взаимодействии с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>Министерством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 природных ресурсов и экологии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 xml:space="preserve"> Свердловской области 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6.2.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ИС «Консультант плюс»,</w:t>
            </w:r>
            <w:r>
              <w:rPr>
                <w:rStyle w:val="1"/>
                <w:i/>
                <w:sz w:val="28"/>
                <w:szCs w:val="28"/>
              </w:rPr>
              <w:t xml:space="preserve"> </w:t>
            </w:r>
            <w:r>
              <w:rPr>
                <w:rStyle w:val="1"/>
                <w:rFonts w:ascii="Liberation Serif" w:hAnsi="Liberation Serif"/>
                <w:i/>
                <w:sz w:val="28"/>
                <w:szCs w:val="28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bookmarkStart w:id="11" w:name="P111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7.1. Цели предлагаемого регулирования: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7.2. Установленные сроки достижения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целей предла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гаемого регулирования: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7.3. Положения проекта, направленные на достижение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целей регулирования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Недопущение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 1 января 2022 года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(с момента вступления в с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илу нормативного правового акта) 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Положения, регулирующие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проведение профилактических мероприятий при осуществлении контрольно-надзорной деятельности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bookmarkStart w:id="14" w:name="P125"/>
            <w:bookmarkStart w:id="15" w:name="P119"/>
            <w:bookmarkEnd w:id="14"/>
            <w:bookmarkEnd w:id="15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00000">
        <w:trPr>
          <w:trHeight w:val="1730"/>
        </w:trPr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8"/>
                <w:szCs w:val="28"/>
              </w:rPr>
              <w:t>8.1. Описание предлаг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аемого способа решения проблемы и преодоления связанных с ней негативных эффектов: </w:t>
            </w:r>
          </w:p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bCs/>
                <w:i/>
                <w:sz w:val="28"/>
                <w:szCs w:val="28"/>
              </w:rPr>
              <w:t>Разработка и принятие проекта нормативного правового акта «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Об утверждении положения о муниципальном 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лесном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 xml:space="preserve"> контроле» в соответствии с требованиями, установленными Федеральн</w:t>
            </w:r>
            <w:r>
              <w:rPr>
                <w:rStyle w:val="1"/>
                <w:rFonts w:ascii="Liberation Serif" w:hAnsi="Liberation Serif" w:cs="Liberation Serif"/>
                <w:bCs/>
                <w:i/>
                <w:iCs/>
                <w:sz w:val="28"/>
                <w:szCs w:val="28"/>
              </w:rPr>
              <w:t>ым законом от 31 июля 2020 года № 248-ФЗ поз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опасность для охраняемых законом ценностей. 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12"/>
              <w:spacing w:after="120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в случае непринятия положен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сохраняются негативные последствия, влекущие причинение вреда (ущерба) охраняемым законом ценностям, с последующ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ими сложностями преодоления таких последствий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63"/>
              <w:gridCol w:w="2908"/>
              <w:gridCol w:w="3544"/>
            </w:tblGrid>
            <w:tr w:rsidR="00000000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Издержки/Недостатки</w:t>
                  </w:r>
                </w:p>
              </w:tc>
            </w:tr>
            <w:tr w:rsidR="00000000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22383F">
                  <w:pPr>
                    <w:pStyle w:val="ConsPlusNormal"/>
                    <w:jc w:val="center"/>
                  </w:pPr>
                  <w:r>
                    <w:rPr>
                      <w:rFonts w:ascii="Liberation Serif" w:hAnsi="Liberation Serif" w:cs="Liberation Serif"/>
                      <w:i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00000" w:rsidRDefault="0022383F">
            <w:pPr>
              <w:pStyle w:val="ConsPlusNormal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00000"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8"/>
                <w:szCs w:val="28"/>
              </w:rPr>
              <w:t>9.1. Группа участников отношений: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ны муниципального контроля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9.1.2.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Органы прокуратуры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9.1.3.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 и индивидуальные предприниматели, попадающие под вид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регионального государственного контроля (надзора)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9.2. Оценка количества участников отношений: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9.2.1. Орга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ны муниципального контроля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 </w:t>
            </w:r>
            <w:r>
              <w:rPr>
                <w:rStyle w:val="1"/>
                <w:rFonts w:ascii="Liberation Serif" w:hAnsi="Liberation Serif" w:cs="Liberation Serif"/>
                <w:i/>
                <w:sz w:val="24"/>
                <w:szCs w:val="24"/>
              </w:rPr>
              <w:t>(указать кол-во)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9.2.2. 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Органы прокуратуры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 – 1;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9.2.3. Индивидуальные предприниматели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данных;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юридические лица –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нет данных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9.3. После введения предлагаемого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регулирования:</w:t>
            </w:r>
          </w:p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не изменится (общее количество поднадзорных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субъектов не изменится, однако возможно изменение количества поднадзорных субъектов в различных категориях) 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9.3.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функции, полномочия, обязанности и права органов местного самоуправления муниципальных обра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8"/>
                <w:szCs w:val="28"/>
              </w:rPr>
              <w:t>10.1. Наименование и описание новых или изменения существующих функций, полномочий,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обязанностей или прав:</w:t>
            </w:r>
          </w:p>
        </w:tc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8"/>
                <w:szCs w:val="28"/>
              </w:rPr>
              <w:t>10.2. Порядок реализации: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8"/>
                <w:szCs w:val="28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Наименование органа: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администрация Го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родского округа «город Ирбит» Свердловской области</w:t>
            </w:r>
          </w:p>
        </w:tc>
      </w:tr>
      <w:tr w:rsidR="00000000">
        <w:trPr>
          <w:trHeight w:val="688"/>
        </w:trPr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разработка и утверждение программы профилактики рисков причинения вреда (ущ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ерба)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Периодические расходы за год: отсутствуют 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(реализация полномочий в сфере муниципального земельного контроля осуществляется в рамках исполнения существующих функци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й) </w:t>
            </w:r>
          </w:p>
        </w:tc>
      </w:tr>
      <w:tr w:rsidR="00000000">
        <w:trPr>
          <w:trHeight w:val="535"/>
        </w:trPr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Ирбитская межрайонная прокуратура Свердловской области</w:t>
            </w:r>
          </w:p>
        </w:tc>
      </w:tr>
      <w:tr w:rsidR="00000000"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Согласование  внеплановых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контрольных мероприятий </w:t>
            </w:r>
          </w:p>
        </w:tc>
        <w:tc>
          <w:tcPr>
            <w:tcW w:w="2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В соответствии с утвержденным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положением об осуществлении вида муниципального контроля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Единоврем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енные расходы: 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отсутствуют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000000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Периодические расходы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000000"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2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/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Возможные поступления за период: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</w:t>
            </w:r>
          </w:p>
        </w:tc>
      </w:tr>
      <w:tr w:rsidR="00000000">
        <w:tc>
          <w:tcPr>
            <w:tcW w:w="65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Отсутствуют 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bookmarkStart w:id="22" w:name="P185"/>
            <w:bookmarkEnd w:id="22"/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10.4. Иные сведения о расходах (возможных поступлениях) бюджетов бюджетной системы Российской Федерации: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отсутст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вуют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10.5. Источники данных: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ведомственные данные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3" w:name="P191"/>
            <w:bookmarkEnd w:id="23"/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регулирования.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4" w:name="P193"/>
            <w:bookmarkEnd w:id="24"/>
            <w:r>
              <w:rPr>
                <w:rFonts w:ascii="Liberation Serif" w:hAnsi="Liberation Serif" w:cs="Liberation Serif"/>
                <w:sz w:val="28"/>
                <w:szCs w:val="28"/>
              </w:rPr>
              <w:t>11.1. Группа участников отношений:</w:t>
            </w: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5" w:name="P194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6" w:name="P195"/>
            <w:bookmarkEnd w:id="26"/>
            <w:r>
              <w:rPr>
                <w:rFonts w:ascii="Liberation Serif" w:hAnsi="Liberation Serif" w:cs="Liberation Serif"/>
                <w:sz w:val="28"/>
                <w:szCs w:val="28"/>
              </w:rPr>
              <w:t>11.3. Описание и оценка видов расхо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дов, выгод (преимуществ):</w:t>
            </w:r>
          </w:p>
        </w:tc>
      </w:tr>
      <w:tr w:rsidR="00000000"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Юр. Лица, индивидуальные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предприниматели,  попадающие под вид муниципального контроля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Произойдет снижение административной нагрузки на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предпринимателей в целом, в первую очередь на добросовестных или ведущих деятельность, не нес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 xml:space="preserve">ущую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угрозу жизни, здоровью и окружающей среде,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а также причинение вреда (ущерба) охраняемым законом ценностям</w:t>
            </w:r>
            <w:r>
              <w:t xml:space="preserve">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в результате нарушений обязательных требований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Снижение затрат (временных и финансовых),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связанных с предоставлением документов и участием в конт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рольно-надзорных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мероприятиях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i/>
                <w:sz w:val="28"/>
                <w:szCs w:val="28"/>
                <w:highlight w:val="yellow"/>
              </w:rPr>
            </w:pP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7" w:name="P207"/>
            <w:bookmarkStart w:id="28" w:name="P199"/>
            <w:bookmarkEnd w:id="27"/>
            <w:bookmarkEnd w:id="28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Оценка влияния на конкурентную среду в регионе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both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12.1.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overflowPunct/>
              <w:jc w:val="both"/>
              <w:textAlignment w:val="auto"/>
            </w:pPr>
            <w:r>
              <w:rPr>
                <w:rStyle w:val="1"/>
                <w:rFonts w:ascii="Liberation Serif" w:hAnsi="Liberation Serif" w:cs="Liberation Serif"/>
                <w:szCs w:val="28"/>
              </w:rPr>
              <w:t>12.2. Источники данных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>: Федеральный закон</w:t>
            </w:r>
            <w:r>
              <w:rPr>
                <w:rStyle w:val="1"/>
                <w:rFonts w:ascii="Liberation Serif" w:hAnsi="Liberation Serif" w:cs="Liberation Serif"/>
                <w:i/>
                <w:szCs w:val="28"/>
              </w:rPr>
              <w:t xml:space="preserve"> от 31 июля 2020 года № 248-ФЗ «О государственном контроле (надзоре) и муниципальном контроле в Российской Федерации»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29" w:name="P216"/>
            <w:bookmarkEnd w:id="29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13.1. Риски решения проблемы предложенным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способом и риски негативных последствий: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30" w:name="P217"/>
            <w:bookmarkEnd w:id="30"/>
            <w:r>
              <w:rPr>
                <w:rFonts w:ascii="Liberation Serif" w:hAnsi="Liberation Serif" w:cs="Liberation Serif"/>
                <w:sz w:val="28"/>
                <w:szCs w:val="28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13.4. Степень контроля рисков:</w:t>
            </w:r>
          </w:p>
        </w:tc>
      </w:tr>
      <w:tr w:rsidR="00000000">
        <w:trPr>
          <w:trHeight w:val="483"/>
        </w:trPr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Риски негативных последствий не выявлены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Орг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анизационно-технические, методологические, информационные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eastAsia="ru-RU"/>
              </w:rPr>
              <w:t>Высокая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14.1. Мероприятия, необходимые для достижени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я целей регулирования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14.2. Сроки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14.4. Объем финансирования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14.5. Источник финансирования</w:t>
            </w:r>
          </w:p>
        </w:tc>
      </w:tr>
      <w:tr w:rsidR="00000000"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1. Информирование контролируемых лиц по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>вопросам соблюдения обязательных требований;</w:t>
            </w:r>
          </w:p>
          <w:p w:rsidR="00000000" w:rsidRDefault="0022383F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 xml:space="preserve">2. Проведение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lastRenderedPageBreak/>
              <w:t xml:space="preserve">мероприятий по профилактике </w:t>
            </w: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нарушений обязательных требований;</w:t>
            </w:r>
          </w:p>
          <w:p w:rsidR="00000000" w:rsidRDefault="0022383F">
            <w:pPr>
              <w:pStyle w:val="12"/>
            </w:pPr>
            <w:r>
              <w:rPr>
                <w:rFonts w:ascii="Liberation Serif" w:eastAsia="Calibri" w:hAnsi="Liberation Serif" w:cs="Liberation Serif"/>
                <w:szCs w:val="28"/>
                <w:lang w:eastAsia="en-US"/>
              </w:rPr>
              <w:t>3.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000000" w:rsidRDefault="0022383F">
            <w:pPr>
              <w:pStyle w:val="12"/>
            </w:pPr>
            <w:r>
              <w:rPr>
                <w:rStyle w:val="1"/>
                <w:rFonts w:ascii="Liberation Serif" w:eastAsia="Calibri" w:hAnsi="Liberation Serif" w:cs="Liberation Serif"/>
                <w:szCs w:val="28"/>
                <w:lang w:eastAsia="en-US"/>
              </w:rPr>
              <w:t>4. Межведомственное взаимодействие при осуществлении муниципального  к</w:t>
            </w:r>
            <w:r>
              <w:rPr>
                <w:rStyle w:val="1"/>
                <w:rFonts w:ascii="Liberation Serif" w:eastAsia="Calibri" w:hAnsi="Liberation Serif" w:cs="Liberation Serif"/>
                <w:szCs w:val="28"/>
                <w:lang w:eastAsia="en-US"/>
              </w:rPr>
              <w:t>онтроля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 1 октябр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я 2021 года, далее - постоя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нно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Проведение видов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контрольных мероприятий,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определенных положением о виде муниципального котроля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, в соответствии с требованиями, установленными Федеральным законом от 31 июля 2020 года </w:t>
            </w:r>
          </w:p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248-ФЗ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15.1. Предпо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лагаемая дата вступления в силу проекта акта: </w:t>
            </w:r>
            <w:r>
              <w:rPr>
                <w:rStyle w:val="1"/>
                <w:rFonts w:ascii="Liberation Serif" w:hAnsi="Liberation Serif" w:cs="Liberation Serif"/>
                <w:i/>
                <w:sz w:val="28"/>
                <w:szCs w:val="28"/>
              </w:rPr>
              <w:t>1 января 2022 года</w:t>
            </w:r>
          </w:p>
        </w:tc>
      </w:tr>
      <w:tr w:rsidR="00000000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 xml:space="preserve"> 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та)</w:t>
            </w:r>
          </w:p>
        </w:tc>
      </w:tr>
      <w:tr w:rsidR="00000000"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Style w:val="1"/>
                <w:rFonts w:ascii="Liberation Serif" w:hAnsi="Liberation Serif" w:cs="Liberation Serif"/>
                <w:sz w:val="28"/>
                <w:szCs w:val="28"/>
                <w:u w:val="single"/>
              </w:rPr>
              <w:t>Нет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t>(с указанием срока в днях</w:t>
            </w:r>
            <w:r>
              <w:rPr>
                <w:rStyle w:val="1"/>
                <w:rFonts w:ascii="Liberation Serif" w:hAnsi="Liberation Serif" w:cs="Liberation Serif"/>
                <w:sz w:val="28"/>
                <w:szCs w:val="28"/>
              </w:rPr>
              <w:br/>
              <w:t>с момента принятия проекта нормативного правового акта)</w:t>
            </w: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15.4. Обоснование необходимости установления переходного периода и (или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</w:p>
        </w:tc>
      </w:tr>
      <w:tr w:rsidR="0000000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jc w:val="center"/>
            </w:pPr>
            <w:bookmarkStart w:id="31" w:name="P260"/>
            <w:bookmarkStart w:id="32" w:name="P249"/>
            <w:bookmarkEnd w:id="31"/>
            <w:bookmarkEnd w:id="32"/>
            <w:r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4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ия заявленных целей регулирования </w:t>
            </w: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00000" w:rsidRDefault="0022383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00000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16.1. Цели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предлагаемого регулирования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16.2.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Индикативные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16.3.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16.4. Целевые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jc w:val="center"/>
            </w:pPr>
            <w:r>
              <w:rPr>
                <w:rFonts w:ascii="Liberation Serif" w:hAnsi="Liberation Serif" w:cs="Liberation Serif"/>
                <w:szCs w:val="28"/>
              </w:rPr>
              <w:lastRenderedPageBreak/>
              <w:t xml:space="preserve">16.5. Способы </w:t>
            </w:r>
            <w:r>
              <w:rPr>
                <w:rFonts w:ascii="Liberation Serif" w:hAnsi="Liberation Serif" w:cs="Liberation Serif"/>
                <w:szCs w:val="28"/>
              </w:rPr>
              <w:lastRenderedPageBreak/>
              <w:t>расчета индикативных показателей</w:t>
            </w:r>
          </w:p>
        </w:tc>
      </w:tr>
      <w:tr w:rsidR="00000000"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spacing w:line="216" w:lineRule="auto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Недопущение причинения вреда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(ущерба) охраняемым законом ценностям, вызванного нарушениями обязательных требований</w:t>
            </w: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overflowPunct/>
              <w:spacing w:line="216" w:lineRule="auto"/>
              <w:textAlignment w:val="auto"/>
            </w:pPr>
            <w: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12"/>
              <w:overflowPunct/>
              <w:spacing w:line="216" w:lineRule="auto"/>
              <w:textAlignment w:val="auto"/>
              <w:rPr>
                <w:rFonts w:ascii="Liberation Serif" w:hAnsi="Liberation Serif" w:cs="Liberation Serif"/>
                <w:i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spacing w:line="216" w:lineRule="auto"/>
              <w:rPr>
                <w:rFonts w:ascii="Liberation Serif" w:hAnsi="Liberation Serif" w:cs="Liberation Serif"/>
                <w:strike/>
                <w:sz w:val="28"/>
                <w:szCs w:val="28"/>
                <w:highlight w:val="yellow"/>
              </w:rPr>
            </w:pPr>
          </w:p>
        </w:tc>
      </w:tr>
      <w:tr w:rsidR="00000000">
        <w:tc>
          <w:tcPr>
            <w:tcW w:w="100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2383F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17. Оценка позитивных и негативных эффектов для общества при введении предлагаемого регулирования: </w:t>
            </w:r>
          </w:p>
          <w:p w:rsidR="00000000" w:rsidRDefault="0022383F">
            <w:pPr>
              <w:pStyle w:val="12"/>
              <w:overflowPunct/>
              <w:autoSpaceDE/>
              <w:spacing w:line="216" w:lineRule="auto"/>
              <w:jc w:val="both"/>
              <w:textAlignment w:val="auto"/>
            </w:pP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>Приведение в соответствие с Федеральным законом от 31 июля 2020</w:t>
            </w:r>
            <w:r>
              <w:rPr>
                <w:rStyle w:val="1"/>
                <w:rFonts w:ascii="Liberation Serif" w:eastAsia="Calibri" w:hAnsi="Liberation Serif" w:cs="Liberation Serif"/>
                <w:i/>
                <w:szCs w:val="28"/>
                <w:lang w:eastAsia="en-US"/>
              </w:rPr>
              <w:t xml:space="preserve">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</w:t>
            </w:r>
          </w:p>
          <w:p w:rsidR="00000000" w:rsidRDefault="0022383F">
            <w:pPr>
              <w:pStyle w:val="ConsPlusNormal"/>
              <w:spacing w:line="216" w:lineRule="auto"/>
              <w:jc w:val="both"/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профилактических мероприятий позволит предупреждать нарушения, не доп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      </w:r>
          </w:p>
        </w:tc>
      </w:tr>
    </w:tbl>
    <w:p w:rsidR="00000000" w:rsidRDefault="0022383F">
      <w:pPr>
        <w:pStyle w:val="ConsPlusNormal"/>
        <w:rPr>
          <w:rFonts w:ascii="Liberation Serif" w:hAnsi="Liberation Serif" w:cs="Liberation Serif"/>
          <w:sz w:val="28"/>
          <w:szCs w:val="28"/>
        </w:rPr>
      </w:pPr>
      <w:bookmarkStart w:id="33" w:name="P405"/>
      <w:bookmarkEnd w:id="33"/>
    </w:p>
    <w:p w:rsidR="00000000" w:rsidRDefault="0022383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00000" w:rsidRDefault="0022383F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Начальник отдела </w:t>
      </w:r>
      <w:r>
        <w:rPr>
          <w:rFonts w:ascii="Liberation Serif" w:hAnsi="Liberation Serif" w:cs="Liberation Serif"/>
          <w:sz w:val="28"/>
          <w:szCs w:val="28"/>
        </w:rPr>
        <w:t>городского хозяйства</w:t>
      </w:r>
    </w:p>
    <w:p w:rsidR="00000000" w:rsidRDefault="0022383F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>администрации Городского округа «горо</w:t>
      </w:r>
      <w:r>
        <w:rPr>
          <w:rFonts w:ascii="Liberation Serif" w:hAnsi="Liberation Serif" w:cs="Liberation Serif"/>
          <w:sz w:val="28"/>
          <w:szCs w:val="28"/>
        </w:rPr>
        <w:t>д Ирбит»</w:t>
      </w:r>
    </w:p>
    <w:p w:rsidR="00000000" w:rsidRDefault="0022383F">
      <w:pPr>
        <w:pStyle w:val="ConsPlusNonformat"/>
        <w:spacing w:line="216" w:lineRule="auto"/>
        <w:ind w:hanging="426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>О.В. Гладкова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:rsidR="00000000" w:rsidRDefault="0022383F">
      <w:pPr>
        <w:pStyle w:val="ConsPlusNonformat"/>
        <w:spacing w:line="216" w:lineRule="auto"/>
        <w:ind w:hanging="426"/>
        <w:jc w:val="both"/>
        <w:rPr>
          <w:rFonts w:ascii="Liberation Serif" w:hAnsi="Liberation Serif" w:cs="Liberation Serif"/>
          <w:sz w:val="28"/>
          <w:szCs w:val="28"/>
        </w:rPr>
      </w:pPr>
    </w:p>
    <w:p w:rsidR="00000000" w:rsidRDefault="0022383F">
      <w:pPr>
        <w:pStyle w:val="ConsPlusNormal"/>
        <w:spacing w:line="216" w:lineRule="auto"/>
        <w:ind w:hanging="426"/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000000" w:rsidRDefault="0022383F">
      <w:pPr>
        <w:pStyle w:val="ConsPlusNormal"/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22383F" w:rsidRDefault="0022383F">
      <w:pPr>
        <w:pStyle w:val="12"/>
      </w:pPr>
    </w:p>
    <w:sectPr w:rsidR="0022383F">
      <w:headerReference w:type="even" r:id="rId9"/>
      <w:headerReference w:type="default" r:id="rId10"/>
      <w:headerReference w:type="first" r:id="rId11"/>
      <w:pgSz w:w="11906" w:h="16838"/>
      <w:pgMar w:top="1134" w:right="850" w:bottom="708" w:left="1701" w:header="708" w:footer="720" w:gutter="0"/>
      <w:cols w:space="72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3F" w:rsidRDefault="0022383F">
      <w:pPr>
        <w:spacing w:after="0"/>
      </w:pPr>
      <w:r>
        <w:separator/>
      </w:r>
    </w:p>
  </w:endnote>
  <w:endnote w:type="continuationSeparator" w:id="0">
    <w:p w:rsidR="0022383F" w:rsidRDefault="00223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3F" w:rsidRDefault="0022383F">
      <w:pPr>
        <w:spacing w:after="0"/>
      </w:pPr>
      <w:r>
        <w:separator/>
      </w:r>
    </w:p>
  </w:footnote>
  <w:footnote w:type="continuationSeparator" w:id="0">
    <w:p w:rsidR="0022383F" w:rsidRDefault="002238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83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8074F">
      <w:rPr>
        <w:noProof/>
      </w:rPr>
      <w:t>2</w:t>
    </w:r>
    <w:r>
      <w:fldChar w:fldCharType="end"/>
    </w:r>
  </w:p>
  <w:p w:rsidR="00000000" w:rsidRDefault="002238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8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83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83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8074F">
      <w:rPr>
        <w:noProof/>
      </w:rPr>
      <w:t>16</w:t>
    </w:r>
    <w:r>
      <w:fldChar w:fldCharType="end"/>
    </w:r>
  </w:p>
  <w:p w:rsidR="00000000" w:rsidRDefault="0022383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38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74F"/>
    <w:rsid w:val="0022383F"/>
    <w:rsid w:val="0098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Гиперссылка1"/>
    <w:rPr>
      <w:color w:val="0563C1"/>
      <w:u w:val="single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5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sz w:val="28"/>
    </w:rPr>
  </w:style>
  <w:style w:type="paragraph" w:customStyle="1" w:styleId="ConsPlusNonformat">
    <w:name w:val="ConsPlusNonforma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b/>
      <w:sz w:val="22"/>
    </w:rPr>
  </w:style>
  <w:style w:type="paragraph" w:customStyle="1" w:styleId="a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12"/>
    <w:pPr>
      <w:tabs>
        <w:tab w:val="center" w:pos="4677"/>
        <w:tab w:val="right" w:pos="9355"/>
      </w:tabs>
    </w:pPr>
  </w:style>
  <w:style w:type="paragraph" w:styleId="ab">
    <w:name w:val="footer"/>
    <w:basedOn w:val="12"/>
    <w:pPr>
      <w:tabs>
        <w:tab w:val="center" w:pos="4677"/>
        <w:tab w:val="right" w:pos="9355"/>
      </w:tabs>
    </w:pPr>
  </w:style>
  <w:style w:type="paragraph" w:styleId="ac">
    <w:name w:val="List Paragraph"/>
    <w:basedOn w:val="12"/>
    <w:qFormat/>
    <w:pPr>
      <w:overflowPunct/>
      <w:autoSpaceDE/>
      <w:spacing w:after="160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12"/>
    <w:rPr>
      <w:rFonts w:ascii="Consolas" w:hAnsi="Consolas" w:cs="Consolas"/>
      <w:sz w:val="20"/>
    </w:rPr>
  </w:style>
  <w:style w:type="paragraph" w:styleId="ad">
    <w:name w:val="Balloon Text"/>
    <w:basedOn w:val="12"/>
    <w:rPr>
      <w:rFonts w:ascii="Segoe UI" w:hAnsi="Segoe UI" w:cs="Segoe UI"/>
      <w:sz w:val="18"/>
      <w:szCs w:val="18"/>
    </w:rPr>
  </w:style>
  <w:style w:type="paragraph" w:customStyle="1" w:styleId="13">
    <w:name w:val="Текст примечания1"/>
    <w:basedOn w:val="12"/>
    <w:rPr>
      <w:sz w:val="20"/>
    </w:rPr>
  </w:style>
  <w:style w:type="paragraph" w:styleId="ae">
    <w:name w:val="annotation subject"/>
    <w:basedOn w:val="13"/>
    <w:next w:val="13"/>
    <w:rPr>
      <w:b/>
      <w:bCs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NormalTable">
    <w:name w:val="Normal Tab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midural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Александра Арленовна</dc:creator>
  <cp:lastModifiedBy>diagileva</cp:lastModifiedBy>
  <cp:revision>2</cp:revision>
  <cp:lastPrinted>1995-11-21T12:41:00Z</cp:lastPrinted>
  <dcterms:created xsi:type="dcterms:W3CDTF">2021-07-28T03:51:00Z</dcterms:created>
  <dcterms:modified xsi:type="dcterms:W3CDTF">2021-07-28T03:51:00Z</dcterms:modified>
</cp:coreProperties>
</file>