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762938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V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2021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г.,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Управление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образованием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проведены мероприятия:</w:t>
      </w:r>
    </w:p>
    <w:p w:rsidR="00864B76" w:rsidRPr="00D5314B" w:rsidRDefault="00715C6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 профилактике наркомании, алкоголизма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55207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864B76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19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36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профилактика экстремизма:</w:t>
      </w:r>
    </w:p>
    <w:p w:rsidR="00762938" w:rsidRPr="00D5314B" w:rsidRDefault="00762938" w:rsidP="00762938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62938" w:rsidRPr="00D5314B" w:rsidRDefault="00762938" w:rsidP="00762938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>круглый стол - 1;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с участием волонтеров –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гармонизации межнациональных отношений: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- 2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104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87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с участием волонтеров –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единых дней профилактики -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- </w:t>
      </w:r>
      <w:r w:rsidR="00220966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17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A"/>
          <w:sz w:val="26"/>
          <w:szCs w:val="26"/>
        </w:rPr>
      </w:pPr>
      <w:r w:rsidRPr="00D5314B">
        <w:rPr>
          <w:rFonts w:ascii="Liberation Serif" w:hAnsi="Liberation Serif" w:cs="Liberation Serif"/>
          <w:color w:val="00000A"/>
          <w:sz w:val="26"/>
          <w:szCs w:val="26"/>
        </w:rPr>
        <w:t>По профилактике</w:t>
      </w:r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</w:t>
      </w:r>
      <w:proofErr w:type="spellStart"/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>в</w:t>
      </w:r>
      <w:r w:rsidRPr="00D5314B">
        <w:rPr>
          <w:rFonts w:ascii="Liberation Serif" w:hAnsi="Liberation Serif" w:cs="Liberation Serif"/>
          <w:color w:val="00000A"/>
          <w:sz w:val="26"/>
          <w:szCs w:val="26"/>
        </w:rPr>
        <w:t>ич</w:t>
      </w:r>
      <w:proofErr w:type="spellEnd"/>
      <w:r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– инфекций: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 - 3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круглый стол - 1;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с участием волонтеров –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220966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единых дней профилактики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–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3.</w:t>
      </w:r>
    </w:p>
    <w:p w:rsidR="00715C6E" w:rsidRPr="00D5314B" w:rsidRDefault="00A9227F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профилактике правонарушений и правовому просвещению и правовому информированию: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 –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864534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пропаганде здорового образа жизни: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159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круглый стол -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групповых бесед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156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66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8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Конкурсы, викторины, военно-спортивные игры:</w:t>
      </w:r>
    </w:p>
    <w:p w:rsidR="003B1592" w:rsidRPr="00D5314B" w:rsidRDefault="00EF2440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</w:t>
      </w:r>
      <w:r w:rsidR="003B159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мероприятий  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 охватом участников в </w:t>
      </w:r>
      <w:r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2801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 данным Управления культуры физической культуры и спорта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7 658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человек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 учётом просмотров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онлайн-трансляций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803B63" w:rsidRPr="00D5314B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Уровень регистрируемой безрабо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тицы на 01.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01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составлял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%.</w:t>
      </w:r>
    </w:p>
    <w:p w:rsidR="00803B63" w:rsidRPr="00D5314B" w:rsidRDefault="00803B63" w:rsidP="00CE037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Коэффициент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миграционной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убыли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(на 1000 человек среднегодового</w:t>
      </w:r>
    </w:p>
    <w:p w:rsidR="00803B63" w:rsidRPr="00D5314B" w:rsidRDefault="00803B63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стоянию на 01.</w:t>
      </w:r>
      <w:r w:rsidR="00EF2440"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11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="00EF2440"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составлял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 - 4,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B292E" w:rsidRPr="00D5314B" w:rsidRDefault="00AB619C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25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03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</w:t>
      </w:r>
      <w:r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>проведено заседание антитеррористической комисси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и. На заседании рассматривались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следующие вопросы: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1. Выработка мер по совершенствованию правового регулирования антитеррористической деятельности на муниципаль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ном уровне</w:t>
      </w: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2. Мониторинг политических, социально-экономических и иных процессов, оказывающих влияние на ситуацию в сфере противодействия терроризму на территории Городского округа «город Ирбит» Свердловской области по итогам 6 месяцев 2021 года.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3. О результатах реализации муниципальных планов и программ в области противодействия терроризму органами местного самоуправления.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4.</w:t>
      </w:r>
      <w:r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 </w:t>
      </w: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Вопросы совершенствования деятельности АТК ГО г. Ирбит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5. 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6. </w:t>
      </w: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О ходе исполнения органами местного самоуправления решений региональной антитеррористической комиссии, антитеррористической комиссии ГО г. Ирбит и реализации Комплексного плана.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7.</w:t>
      </w:r>
      <w:r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 </w:t>
      </w: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мероприятий.</w:t>
      </w:r>
    </w:p>
    <w:p w:rsidR="00CA64FF" w:rsidRPr="00D5314B" w:rsidRDefault="00CA64FF" w:rsidP="00AB619C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287A4B" w:rsidRPr="00D5314B" w:rsidRDefault="00287A4B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="00A33EA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ачальнику Управления образованием Городского округа «город Ирбит» Св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ердловской области</w:t>
      </w:r>
      <w:r w:rsidR="00AC7B87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C7B87" w:rsidRPr="00D5508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начальнику Управления культуры, физической культуры и спорта 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287A4B" w:rsidRPr="00D5314B" w:rsidRDefault="00AC7B87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 </w:t>
      </w:r>
      <w:r w:rsidRPr="00D550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обеспечить разработку правовых актов для реализации решений </w:t>
      </w:r>
      <w:r w:rsidRPr="00D5508E">
        <w:rPr>
          <w:rFonts w:ascii="Liberation Serif" w:hAnsi="Liberation Serif" w:cs="Times New Roman"/>
          <w:sz w:val="26"/>
          <w:szCs w:val="26"/>
        </w:rPr>
        <w:t>антитеррористической комиссии Городского округа «город Ирбит» Свердловской области с назначением</w:t>
      </w:r>
      <w:r>
        <w:rPr>
          <w:rFonts w:ascii="Liberation Serif" w:hAnsi="Liberation Serif" w:cs="Times New Roman"/>
          <w:sz w:val="26"/>
          <w:szCs w:val="26"/>
        </w:rPr>
        <w:t xml:space="preserve"> ответственных лиц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87A4B" w:rsidRPr="00D5314B" w:rsidRDefault="00287A4B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 </w:t>
      </w:r>
      <w:r w:rsidR="00AC7B87" w:rsidRPr="00ED7262">
        <w:rPr>
          <w:rFonts w:ascii="Liberation Serif" w:eastAsia="Calibri" w:hAnsi="Liberation Serif" w:cs="Liberation Serif"/>
          <w:sz w:val="26"/>
          <w:szCs w:val="26"/>
          <w:lang w:eastAsia="ru-RU"/>
        </w:rPr>
        <w:t>организовать работу по предоставлению информации об исполнении поручений в соответствии со сроками предусмотренными протоколами антитеррористической комиссии Городского округа «город Ирбит» Свердловской области, в аппарат антитеррористической комиссии 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  <w:r w:rsidR="00A33EA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42492A" w:rsidRDefault="00287A4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Начальнику отдела гражданской защиты и общественной безопасности администрации Городского округа «город Ирбит» Свердловской области</w:t>
      </w:r>
      <w:r w:rsidR="004249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CE0370" w:rsidRDefault="0042492A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C7B87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 </w:t>
      </w:r>
      <w:r w:rsidRPr="00DE63D2">
        <w:rPr>
          <w:rFonts w:ascii="Liberation Serif" w:hAnsi="Liberation Serif" w:cs="Liberation Serif"/>
          <w:sz w:val="26"/>
          <w:szCs w:val="26"/>
        </w:rPr>
        <w:t>обеспечить</w:t>
      </w:r>
      <w:r>
        <w:rPr>
          <w:rFonts w:ascii="Liberation Serif" w:hAnsi="Liberation Serif" w:cs="Liberation Serif"/>
          <w:sz w:val="26"/>
          <w:szCs w:val="26"/>
        </w:rPr>
        <w:t xml:space="preserve"> разработку и изготовление информационных буклетов с разъяснением сущности терроризма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42492A" w:rsidRPr="00D5314B" w:rsidRDefault="00AC7B87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Pr="00F2060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провести проверку нормативно правовой базы деятельности АТК, при выявлении недо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статков привести в соответствие</w:t>
      </w:r>
    </w:p>
    <w:p w:rsidR="00A33EA0" w:rsidRDefault="00A33EA0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D5314B" w:rsidRPr="00D5314B" w:rsidRDefault="00D5314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1A3CDB"/>
    <w:rsid w:val="001E3010"/>
    <w:rsid w:val="00220966"/>
    <w:rsid w:val="00235A01"/>
    <w:rsid w:val="00287A4B"/>
    <w:rsid w:val="002E40AE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2492A"/>
    <w:rsid w:val="004C33A3"/>
    <w:rsid w:val="00512C58"/>
    <w:rsid w:val="0055207B"/>
    <w:rsid w:val="00587134"/>
    <w:rsid w:val="005904E1"/>
    <w:rsid w:val="0059177D"/>
    <w:rsid w:val="005E6F82"/>
    <w:rsid w:val="006347B7"/>
    <w:rsid w:val="006638BB"/>
    <w:rsid w:val="00715C6E"/>
    <w:rsid w:val="00762938"/>
    <w:rsid w:val="00803B63"/>
    <w:rsid w:val="008600A5"/>
    <w:rsid w:val="00864534"/>
    <w:rsid w:val="00864B76"/>
    <w:rsid w:val="00883693"/>
    <w:rsid w:val="0092339E"/>
    <w:rsid w:val="00995423"/>
    <w:rsid w:val="00A33EA0"/>
    <w:rsid w:val="00A81B6B"/>
    <w:rsid w:val="00A87FB2"/>
    <w:rsid w:val="00A9227F"/>
    <w:rsid w:val="00AB1ECE"/>
    <w:rsid w:val="00AB619C"/>
    <w:rsid w:val="00AC7B87"/>
    <w:rsid w:val="00B37A4C"/>
    <w:rsid w:val="00B77F95"/>
    <w:rsid w:val="00B86710"/>
    <w:rsid w:val="00C664FA"/>
    <w:rsid w:val="00CA64FF"/>
    <w:rsid w:val="00CE0370"/>
    <w:rsid w:val="00D4742B"/>
    <w:rsid w:val="00D5314B"/>
    <w:rsid w:val="00D809FA"/>
    <w:rsid w:val="00DD7A8D"/>
    <w:rsid w:val="00E511EC"/>
    <w:rsid w:val="00EF2440"/>
    <w:rsid w:val="00FB292E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2020-06-26T07:15:00Z</dcterms:created>
  <dcterms:modified xsi:type="dcterms:W3CDTF">2022-03-21T09:15:00Z</dcterms:modified>
</cp:coreProperties>
</file>