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5D747E" w:rsidRDefault="00DC5DE4" w:rsidP="00DC5DE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C5DE4" w:rsidRPr="006D0AF2" w:rsidRDefault="00A323C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з</w:t>
      </w:r>
      <w:r w:rsidR="00850615">
        <w:rPr>
          <w:rFonts w:ascii="Liberation Serif" w:hAnsi="Liberation Serif" w:cs="Liberation Serif"/>
          <w:b/>
          <w:sz w:val="28"/>
          <w:szCs w:val="28"/>
        </w:rPr>
        <w:t>аключени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67"/>
        <w:gridCol w:w="826"/>
        <w:gridCol w:w="20"/>
        <w:gridCol w:w="567"/>
        <w:gridCol w:w="1397"/>
        <w:gridCol w:w="1134"/>
        <w:gridCol w:w="304"/>
        <w:gridCol w:w="121"/>
        <w:gridCol w:w="169"/>
        <w:gridCol w:w="1107"/>
        <w:gridCol w:w="284"/>
        <w:gridCol w:w="308"/>
        <w:gridCol w:w="567"/>
        <w:gridCol w:w="542"/>
        <w:gridCol w:w="1559"/>
      </w:tblGrid>
      <w:tr w:rsidR="00DC5DE4" w:rsidRPr="006D0AF2" w:rsidTr="00856B2C">
        <w:trPr>
          <w:trHeight w:val="274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856B2C">
        <w:trPr>
          <w:trHeight w:val="2117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813EC8" w:rsidRPr="00813EC8" w:rsidRDefault="00DC5DE4" w:rsidP="00813EC8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DC5DE4">
              <w:rPr>
                <w:rFonts w:ascii="Liberation Serif" w:hAnsi="Liberation Serif"/>
                <w:sz w:val="24"/>
              </w:rPr>
              <w:t xml:space="preserve">Постановление администрации </w:t>
            </w:r>
            <w:r w:rsidR="005A0B23">
              <w:rPr>
                <w:rFonts w:ascii="Liberation Serif" w:hAnsi="Liberation Serif"/>
                <w:sz w:val="24"/>
              </w:rPr>
              <w:t xml:space="preserve">Городского округа </w:t>
            </w:r>
            <w:r w:rsidRPr="00DC5DE4">
              <w:rPr>
                <w:rFonts w:ascii="Liberation Serif" w:hAnsi="Liberation Serif"/>
                <w:sz w:val="24"/>
              </w:rPr>
              <w:t xml:space="preserve"> </w:t>
            </w:r>
            <w:r w:rsidR="005A0B23">
              <w:rPr>
                <w:rFonts w:ascii="Liberation Serif" w:hAnsi="Liberation Serif"/>
                <w:sz w:val="24"/>
              </w:rPr>
              <w:t>«</w:t>
            </w:r>
            <w:r w:rsidRPr="00DC5DE4">
              <w:rPr>
                <w:rFonts w:ascii="Liberation Serif" w:hAnsi="Liberation Serif"/>
                <w:sz w:val="24"/>
              </w:rPr>
              <w:t>город Ирбит</w:t>
            </w:r>
            <w:r w:rsidR="005A0B23">
              <w:rPr>
                <w:rFonts w:ascii="Liberation Serif" w:hAnsi="Liberation Serif"/>
                <w:sz w:val="24"/>
              </w:rPr>
              <w:t xml:space="preserve">» Свердловской области </w:t>
            </w:r>
            <w:r w:rsidRPr="00DC5DE4">
              <w:rPr>
                <w:rFonts w:ascii="Liberation Serif" w:hAnsi="Liberation Serif"/>
                <w:sz w:val="24"/>
              </w:rPr>
              <w:t xml:space="preserve">от </w:t>
            </w:r>
            <w:r w:rsidR="00445443">
              <w:rPr>
                <w:rFonts w:ascii="Liberation Serif" w:hAnsi="Liberation Serif"/>
                <w:sz w:val="24"/>
              </w:rPr>
              <w:t>30</w:t>
            </w:r>
            <w:r w:rsidRPr="00DC5DE4">
              <w:rPr>
                <w:rFonts w:ascii="Liberation Serif" w:hAnsi="Liberation Serif"/>
                <w:sz w:val="24"/>
              </w:rPr>
              <w:t>.</w:t>
            </w:r>
            <w:r w:rsidR="00445443">
              <w:rPr>
                <w:rFonts w:ascii="Liberation Serif" w:hAnsi="Liberation Serif"/>
                <w:sz w:val="24"/>
              </w:rPr>
              <w:t>11</w:t>
            </w:r>
            <w:r w:rsidRPr="00DC5DE4">
              <w:rPr>
                <w:rFonts w:ascii="Liberation Serif" w:hAnsi="Liberation Serif"/>
                <w:sz w:val="24"/>
              </w:rPr>
              <w:t>.20</w:t>
            </w:r>
            <w:r w:rsidR="005A0B23">
              <w:rPr>
                <w:rFonts w:ascii="Liberation Serif" w:hAnsi="Liberation Serif"/>
                <w:sz w:val="24"/>
              </w:rPr>
              <w:t>21</w:t>
            </w:r>
            <w:r w:rsidRPr="00DC5DE4">
              <w:rPr>
                <w:rFonts w:ascii="Liberation Serif" w:hAnsi="Liberation Serif"/>
                <w:sz w:val="24"/>
              </w:rPr>
              <w:t xml:space="preserve"> года №</w:t>
            </w:r>
            <w:r w:rsidR="005A0B23">
              <w:rPr>
                <w:rFonts w:ascii="Liberation Serif" w:hAnsi="Liberation Serif"/>
                <w:sz w:val="24"/>
              </w:rPr>
              <w:t>1</w:t>
            </w:r>
            <w:r w:rsidR="00397A65">
              <w:rPr>
                <w:rFonts w:ascii="Liberation Serif" w:hAnsi="Liberation Serif"/>
                <w:sz w:val="24"/>
              </w:rPr>
              <w:t>986</w:t>
            </w:r>
            <w:r w:rsidRPr="00DC5DE4">
              <w:rPr>
                <w:rFonts w:ascii="Liberation Serif" w:hAnsi="Liberation Serif"/>
                <w:sz w:val="24"/>
              </w:rPr>
              <w:t>-</w:t>
            </w:r>
            <w:r w:rsidRPr="00813EC8">
              <w:rPr>
                <w:rFonts w:ascii="Liberation Serif" w:hAnsi="Liberation Serif"/>
              </w:rPr>
              <w:t>ПА</w:t>
            </w:r>
            <w:r w:rsidR="00813EC8">
              <w:rPr>
                <w:rFonts w:ascii="Liberation Serif" w:hAnsi="Liberation Serif"/>
              </w:rPr>
              <w:t xml:space="preserve"> «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Об утверждении административного регламента</w:t>
            </w:r>
            <w:r w:rsid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предоставления муниципальной услуги</w:t>
            </w:r>
            <w:r w:rsid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«</w:t>
            </w:r>
            <w:r w:rsidR="00445443" w:rsidRPr="00445443">
              <w:rPr>
                <w:rFonts w:ascii="Liberation Serif" w:hAnsi="Liberation Serif"/>
                <w:sz w:val="24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»</w:t>
            </w:r>
          </w:p>
          <w:p w:rsidR="00DC5DE4" w:rsidRPr="006D0AF2" w:rsidRDefault="00DC5DE4" w:rsidP="00BB24BE">
            <w:pPr>
              <w:ind w:firstLine="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8F218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F218A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</w:p>
        </w:tc>
      </w:tr>
      <w:tr w:rsidR="00DC5DE4" w:rsidRPr="006D0AF2" w:rsidTr="00856B2C">
        <w:trPr>
          <w:trHeight w:val="141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813EC8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EC8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813EC8" w:rsidRDefault="00850615" w:rsidP="0044544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13EC8">
              <w:rPr>
                <w:rFonts w:ascii="Liberation Serif" w:hAnsi="Liberation Serif"/>
                <w:sz w:val="24"/>
                <w:szCs w:val="28"/>
              </w:rPr>
              <w:t xml:space="preserve">Настоящее постановление  опубликовано в </w:t>
            </w:r>
            <w:proofErr w:type="spellStart"/>
            <w:r w:rsidRPr="00813EC8">
              <w:rPr>
                <w:rFonts w:ascii="Liberation Serif" w:hAnsi="Liberation Serif"/>
                <w:sz w:val="24"/>
                <w:szCs w:val="28"/>
              </w:rPr>
              <w:t>Ирбитской</w:t>
            </w:r>
            <w:proofErr w:type="spellEnd"/>
            <w:r w:rsidRPr="00813EC8">
              <w:rPr>
                <w:rFonts w:ascii="Liberation Serif" w:hAnsi="Liberation Serif"/>
                <w:sz w:val="24"/>
                <w:szCs w:val="28"/>
              </w:rPr>
              <w:t xml:space="preserve"> общественно-политической газете «Восход»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,</w:t>
            </w:r>
            <w:r w:rsidRPr="00813EC8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№</w:t>
            </w:r>
            <w:r w:rsidR="00DE69F6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445443">
              <w:rPr>
                <w:rFonts w:ascii="Liberation Serif" w:hAnsi="Liberation Serif"/>
                <w:sz w:val="24"/>
                <w:szCs w:val="28"/>
              </w:rPr>
              <w:t>47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 xml:space="preserve"> от </w:t>
            </w:r>
            <w:r w:rsidR="00DE69F6">
              <w:rPr>
                <w:rFonts w:ascii="Liberation Serif" w:hAnsi="Liberation Serif"/>
                <w:sz w:val="24"/>
                <w:szCs w:val="28"/>
              </w:rPr>
              <w:t>09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.</w:t>
            </w:r>
            <w:r w:rsidR="00445443">
              <w:rPr>
                <w:rFonts w:ascii="Liberation Serif" w:hAnsi="Liberation Serif"/>
                <w:sz w:val="24"/>
                <w:szCs w:val="28"/>
              </w:rPr>
              <w:t>12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.20</w:t>
            </w:r>
            <w:r w:rsidR="00230BDE" w:rsidRPr="00813EC8">
              <w:rPr>
                <w:rFonts w:ascii="Liberation Serif" w:hAnsi="Liberation Serif"/>
                <w:sz w:val="24"/>
                <w:szCs w:val="28"/>
              </w:rPr>
              <w:t>21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 xml:space="preserve"> года.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813EC8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DC5DE4" w:rsidRPr="006D0AF2" w:rsidTr="00856B2C">
        <w:trPr>
          <w:trHeight w:val="831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31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856B2C">
        <w:trPr>
          <w:trHeight w:val="1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Default="00FE7B88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44773E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44773E">
              <w:rPr>
                <w:rFonts w:ascii="Liberation Serif" w:hAnsi="Liberation Serif" w:cs="Times New Roman"/>
                <w:sz w:val="24"/>
              </w:rPr>
              <w:t>имущественных и земельных отношений</w:t>
            </w:r>
            <w:r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265"/>
        </w:trPr>
        <w:tc>
          <w:tcPr>
            <w:tcW w:w="842" w:type="dxa"/>
            <w:gridSpan w:val="2"/>
            <w:vMerge w:val="restart"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231E4B" w:rsidRDefault="00DC5DE4" w:rsidP="00C8119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4773E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44773E" w:rsidRPr="0044773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осуществление деятельности в сфере</w:t>
            </w:r>
            <w:r w:rsidR="0044773E" w:rsidRPr="0044773E">
              <w:rPr>
                <w:rFonts w:asciiTheme="minorHAnsi" w:hAnsiTheme="minorHAnsi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C8119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землепользования</w:t>
            </w:r>
          </w:p>
        </w:tc>
      </w:tr>
      <w:tr w:rsidR="00DC5DE4" w:rsidRPr="006D0AF2" w:rsidTr="0044773E">
        <w:trPr>
          <w:trHeight w:val="70"/>
        </w:trPr>
        <w:tc>
          <w:tcPr>
            <w:tcW w:w="842" w:type="dxa"/>
            <w:gridSpan w:val="2"/>
            <w:vMerge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905" w:type="dxa"/>
            <w:gridSpan w:val="1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8059" w:type="dxa"/>
            <w:gridSpan w:val="12"/>
          </w:tcPr>
          <w:p w:rsidR="00DC5DE4" w:rsidRPr="006D0AF2" w:rsidRDefault="00DC5DE4" w:rsidP="00C8119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>Лобанова Ольга Анатольевна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8059" w:type="dxa"/>
            <w:gridSpan w:val="1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</w:t>
            </w:r>
            <w:r w:rsidR="00C8119D">
              <w:t xml:space="preserve"> </w:t>
            </w:r>
            <w:r w:rsidR="00C8119D" w:rsidRPr="00C8119D">
              <w:rPr>
                <w:rFonts w:ascii="Liberation Serif" w:hAnsi="Liberation Serif" w:cs="Liberation Serif"/>
                <w:sz w:val="24"/>
                <w:szCs w:val="24"/>
              </w:rPr>
              <w:t xml:space="preserve">имущественных и земельных отношений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="00C8119D">
              <w:t xml:space="preserve"> </w:t>
            </w:r>
            <w:r w:rsidR="00C8119D" w:rsidRPr="00C8119D">
              <w:rPr>
                <w:rFonts w:ascii="Liberation Serif" w:hAnsi="Liberation Serif" w:cs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8059" w:type="dxa"/>
            <w:gridSpan w:val="12"/>
          </w:tcPr>
          <w:p w:rsidR="00DC5DE4" w:rsidRPr="006D0AF2" w:rsidRDefault="00DC5DE4" w:rsidP="00C8119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6-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8059" w:type="dxa"/>
            <w:gridSpan w:val="12"/>
          </w:tcPr>
          <w:p w:rsidR="00DC5DE4" w:rsidRPr="006D0AF2" w:rsidRDefault="00DC5DE4" w:rsidP="00C8119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C8119D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FE7B88" w:rsidRPr="00C811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8119D" w:rsidRPr="00C8119D">
              <w:rPr>
                <w:sz w:val="20"/>
              </w:rPr>
              <w:t xml:space="preserve"> </w:t>
            </w:r>
            <w:r w:rsidR="00C8119D" w:rsidRPr="00C8119D">
              <w:rPr>
                <w:rFonts w:ascii="Liberation Serif" w:hAnsi="Liberation Serif" w:cs="Liberation Serif"/>
                <w:sz w:val="24"/>
                <w:szCs w:val="24"/>
              </w:rPr>
              <w:t>oaogiganova@mail.ru</w:t>
            </w: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905" w:type="dxa"/>
            <w:gridSpan w:val="1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059" w:type="dxa"/>
            <w:gridSpan w:val="12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  <w:p w:rsidR="003828AF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Отдел имущественных и земельных отношений администрации Городского округа «город Ирбит» Свердловской области – 1;</w:t>
            </w:r>
          </w:p>
          <w:p w:rsidR="003828AF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ГБУ СО «МФЦ» -1;</w:t>
            </w:r>
          </w:p>
          <w:p w:rsidR="003828AF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Юридические лица; </w:t>
            </w:r>
          </w:p>
          <w:p w:rsidR="009B7152" w:rsidRPr="009B7152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 Физические лица.</w:t>
            </w:r>
          </w:p>
        </w:tc>
      </w:tr>
      <w:tr w:rsidR="00DC5DE4" w:rsidRPr="006D0AF2" w:rsidTr="00856B2C">
        <w:trPr>
          <w:trHeight w:val="278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059" w:type="dxa"/>
            <w:gridSpan w:val="12"/>
            <w:tcBorders>
              <w:bottom w:val="single" w:sz="4" w:space="0" w:color="auto"/>
            </w:tcBorders>
          </w:tcPr>
          <w:p w:rsidR="00DC5DE4" w:rsidRDefault="00DC5DE4" w:rsidP="00C8119D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8119D">
              <w:t xml:space="preserve"> 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8119D" w:rsidRPr="00C8119D">
              <w:rPr>
                <w:rFonts w:ascii="Liberation Serif" w:hAnsi="Liberation Serif" w:cs="Liberation Serif"/>
                <w:sz w:val="24"/>
                <w:szCs w:val="24"/>
              </w:rPr>
              <w:t xml:space="preserve">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      </w:r>
            <w:r w:rsidR="00C8119D" w:rsidRPr="00C8119D">
              <w:rPr>
                <w:rFonts w:ascii="Liberation Serif" w:hAnsi="Liberation Serif" w:cs="Liberation Serif"/>
                <w:sz w:val="24"/>
              </w:rPr>
              <w:t>направлено на неограниченный круг лиц</w:t>
            </w:r>
            <w:r w:rsidR="003828AF">
              <w:rPr>
                <w:rFonts w:ascii="Liberation Serif" w:hAnsi="Liberation Serif" w:cs="Liberation Serif"/>
                <w:sz w:val="24"/>
              </w:rPr>
              <w:t>.</w:t>
            </w:r>
          </w:p>
          <w:p w:rsidR="003828AF" w:rsidRPr="003828AF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AF">
              <w:rPr>
                <w:rFonts w:ascii="Liberation Serif" w:hAnsi="Liberation Serif" w:cs="Liberation Serif"/>
                <w:sz w:val="24"/>
                <w:szCs w:val="24"/>
              </w:rPr>
              <w:t>1. Отдел имущественных и земельных отношений администрации Городского округа «город Ирбит» Свердловской области – 1;</w:t>
            </w:r>
          </w:p>
          <w:p w:rsidR="003828AF" w:rsidRPr="003828AF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AF">
              <w:rPr>
                <w:rFonts w:ascii="Liberation Serif" w:hAnsi="Liberation Serif" w:cs="Liberation Serif"/>
                <w:sz w:val="24"/>
                <w:szCs w:val="24"/>
              </w:rPr>
              <w:t>2. ГБУ СО «МФЦ» -1;</w:t>
            </w:r>
          </w:p>
          <w:p w:rsidR="003828AF" w:rsidRPr="003828AF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AF">
              <w:rPr>
                <w:rFonts w:ascii="Liberation Serif" w:hAnsi="Liberation Serif" w:cs="Liberation Serif"/>
                <w:sz w:val="24"/>
                <w:szCs w:val="24"/>
              </w:rPr>
              <w:t>3. Юридические лица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 2021 г. – 30, 2022 г. – 88, 2023 г. – 25;</w:t>
            </w:r>
            <w:r w:rsidRPr="003828A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8AF" w:rsidRPr="006D0AF2" w:rsidRDefault="003828AF" w:rsidP="003828AF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AF">
              <w:rPr>
                <w:rFonts w:ascii="Liberation Serif" w:hAnsi="Liberation Serif" w:cs="Liberation Serif"/>
                <w:sz w:val="24"/>
                <w:szCs w:val="24"/>
              </w:rPr>
              <w:t>4. Физические лица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 2021 г. – 10, 2022 г. – 3, 2023 г. – 7.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5A0B2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828AF">
              <w:t xml:space="preserve"> </w:t>
            </w:r>
            <w:r w:rsidR="003828AF" w:rsidRPr="003828AF">
              <w:rPr>
                <w:rFonts w:ascii="Liberation Serif" w:hAnsi="Liberation Serif" w:cs="Liberation Serif"/>
                <w:sz w:val="24"/>
                <w:szCs w:val="24"/>
              </w:rPr>
              <w:t>отчет о результатах проведения мониторинга качества предоставления государственных (муниципальных) услуг за 2021-2022</w:t>
            </w:r>
            <w:r w:rsidR="003828AF">
              <w:rPr>
                <w:rFonts w:ascii="Liberation Serif" w:hAnsi="Liberation Serif" w:cs="Liberation Serif"/>
                <w:sz w:val="24"/>
                <w:szCs w:val="24"/>
              </w:rPr>
              <w:t>, январь-май 2023 г.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555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9B7152" w:rsidRPr="006D0AF2" w:rsidRDefault="00DE69F6" w:rsidP="00C8119D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9B7152" w:rsidRPr="00414DF9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муниципальной услуги </w:t>
            </w:r>
            <w:r w:rsidR="00230BDE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="00230BDE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C8119D" w:rsidRPr="00C8119D">
              <w:rPr>
                <w:rFonts w:ascii="Liberation Serif" w:hAnsi="Liberation Serif" w:cs="Liberation Serif"/>
                <w:sz w:val="24"/>
                <w:szCs w:val="24"/>
              </w:rPr>
              <w:t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8119D" w:rsidRPr="00C8119D">
              <w:rPr>
                <w:rFonts w:ascii="Liberation Serif" w:hAnsi="Liberation Serif" w:cs="Liberation Serif"/>
                <w:sz w:val="24"/>
                <w:szCs w:val="28"/>
              </w:rPr>
              <w:t>разработан в целях повышения качества и доступности предоставления муниципальной услуги, создания комфортных условий для получателей муниципальной услуги, установление состава, последовательности и сроков выполнения административных процедур (действий).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230BD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  <w:r w:rsidR="00C811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E69F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45E89"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Проблема </w:t>
            </w:r>
            <w:r w:rsidR="00D45E89"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 повышения качества предоставления и доступности муниципальной услуги, создания комфортных условий для участников правоотношений</w:t>
            </w:r>
            <w:r w:rsidR="00D45E89">
              <w:rPr>
                <w:rFonts w:ascii="Liberation Serif" w:hAnsi="Liberation Serif" w:cs="Liberation Serif"/>
                <w:sz w:val="24"/>
                <w:szCs w:val="28"/>
              </w:rPr>
              <w:t xml:space="preserve"> решена утвержденным регламентом, в котором определены сроки и последовательность действий. 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7189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230BD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30BDE">
              <w:rPr>
                <w:rFonts w:ascii="Liberation Serif" w:hAnsi="Liberation Serif" w:cs="Liberation Serif"/>
                <w:sz w:val="24"/>
                <w:szCs w:val="24"/>
              </w:rPr>
              <w:t>данные</w:t>
            </w:r>
            <w:r w:rsidR="004718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7189B" w:rsidRPr="00FE7B88">
              <w:rPr>
                <w:rFonts w:ascii="Liberation Serif" w:hAnsi="Liberation Serif" w:cs="Times New Roman"/>
                <w:sz w:val="24"/>
              </w:rPr>
              <w:t xml:space="preserve"> </w:t>
            </w:r>
            <w:r w:rsidR="0047189B">
              <w:rPr>
                <w:rFonts w:ascii="Liberation Serif" w:hAnsi="Liberation Serif" w:cs="Times New Roman"/>
                <w:sz w:val="24"/>
              </w:rPr>
              <w:t>о</w:t>
            </w:r>
            <w:r w:rsidR="0047189B" w:rsidRPr="00FE7B88">
              <w:rPr>
                <w:rFonts w:ascii="Liberation Serif" w:hAnsi="Liberation Serif" w:cs="Times New Roman"/>
                <w:sz w:val="24"/>
              </w:rPr>
              <w:t>тдел</w:t>
            </w:r>
            <w:r w:rsidR="0047189B">
              <w:rPr>
                <w:rFonts w:ascii="Liberation Serif" w:hAnsi="Liberation Serif" w:cs="Times New Roman"/>
                <w:sz w:val="24"/>
              </w:rPr>
              <w:t>а</w:t>
            </w:r>
            <w:r w:rsidR="0047189B" w:rsidRPr="00FE7B88">
              <w:rPr>
                <w:rFonts w:ascii="Liberation Serif" w:hAnsi="Liberation Serif" w:cs="Times New Roman"/>
                <w:sz w:val="24"/>
              </w:rPr>
              <w:t xml:space="preserve"> </w:t>
            </w:r>
            <w:r w:rsidR="0047189B">
              <w:rPr>
                <w:rFonts w:ascii="Liberation Serif" w:hAnsi="Liberation Serif" w:cs="Times New Roman"/>
                <w:sz w:val="24"/>
              </w:rPr>
              <w:t>имущественных и земельных отношений</w:t>
            </w:r>
            <w:r w:rsidR="0047189B"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</w:tc>
      </w:tr>
      <w:tr w:rsidR="00DC5DE4" w:rsidRPr="006D0AF2" w:rsidTr="00856B2C">
        <w:trPr>
          <w:trHeight w:val="144"/>
        </w:trPr>
        <w:tc>
          <w:tcPr>
            <w:tcW w:w="9747" w:type="dxa"/>
            <w:gridSpan w:val="16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</w:p>
          <w:p w:rsidR="006D1D5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C5DE4" w:rsidRPr="006D0AF2" w:rsidTr="00856B2C">
        <w:trPr>
          <w:trHeight w:val="144"/>
        </w:trPr>
        <w:tc>
          <w:tcPr>
            <w:tcW w:w="9747" w:type="dxa"/>
            <w:gridSpan w:val="16"/>
            <w:tcBorders>
              <w:top w:val="nil"/>
            </w:tcBorders>
          </w:tcPr>
          <w:p w:rsidR="00DC5DE4" w:rsidRPr="006D0AF2" w:rsidRDefault="0047189B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189B">
              <w:rPr>
                <w:rFonts w:ascii="Liberation Serif" w:hAnsi="Liberation Serif" w:cs="Times New Roman"/>
                <w:sz w:val="24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1311"/>
        </w:trPr>
        <w:tc>
          <w:tcPr>
            <w:tcW w:w="3652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27" w:type="dxa"/>
            <w:gridSpan w:val="7"/>
          </w:tcPr>
          <w:p w:rsidR="00BD4B1C" w:rsidRDefault="00DC5DE4" w:rsidP="00093291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0241AE" w:rsidRDefault="000241AE" w:rsidP="00093291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7189B" w:rsidRPr="00605590" w:rsidRDefault="0047189B" w:rsidP="00093291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856B2C">
        <w:trPr>
          <w:trHeight w:val="144"/>
        </w:trPr>
        <w:tc>
          <w:tcPr>
            <w:tcW w:w="3652" w:type="dxa"/>
            <w:gridSpan w:val="6"/>
          </w:tcPr>
          <w:p w:rsidR="00605590" w:rsidRPr="00605590" w:rsidRDefault="0047189B" w:rsidP="0047189B">
            <w:pPr>
              <w:pStyle w:val="ConsPlusNormal"/>
              <w:tabs>
                <w:tab w:val="left" w:pos="284"/>
                <w:tab w:val="left" w:pos="1875"/>
              </w:tabs>
              <w:spacing w:line="235" w:lineRule="auto"/>
              <w:ind w:left="568" w:hanging="56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4.1.1.</w:t>
            </w:r>
            <w:r w:rsidR="00DC5DE4" w:rsidRPr="00605590">
              <w:rPr>
                <w:rFonts w:ascii="Liberation Serif" w:hAnsi="Liberation Serif" w:cs="Liberation Serif"/>
                <w:sz w:val="24"/>
                <w:szCs w:val="24"/>
              </w:rPr>
              <w:t>Функция</w:t>
            </w:r>
            <w:proofErr w:type="gramStart"/>
            <w:r w:rsidR="00DC5DE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proofErr w:type="gramEnd"/>
          </w:p>
          <w:p w:rsidR="00856B2C" w:rsidRPr="00605590" w:rsidRDefault="00C8119D" w:rsidP="00EE707A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119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      </w:r>
          </w:p>
        </w:tc>
        <w:tc>
          <w:tcPr>
            <w:tcW w:w="3427" w:type="dxa"/>
            <w:gridSpan w:val="7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  <w:p w:rsidR="00DE69F6" w:rsidRPr="00605590" w:rsidRDefault="00DE69F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DC5DE4" w:rsidRPr="00605590" w:rsidRDefault="0047189B" w:rsidP="0047189B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189B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47189B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</w:tr>
      <w:tr w:rsidR="00DC5DE4" w:rsidRPr="006D0AF2" w:rsidTr="00856B2C">
        <w:trPr>
          <w:trHeight w:val="144"/>
        </w:trPr>
        <w:tc>
          <w:tcPr>
            <w:tcW w:w="3652" w:type="dxa"/>
            <w:gridSpan w:val="6"/>
          </w:tcPr>
          <w:p w:rsidR="00DC5DE4" w:rsidRPr="00605590" w:rsidRDefault="0047189B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4.1.2.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исполнением положений административного регламента</w:t>
            </w:r>
          </w:p>
        </w:tc>
        <w:tc>
          <w:tcPr>
            <w:tcW w:w="3427" w:type="dxa"/>
            <w:gridSpan w:val="7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C5DE4" w:rsidRPr="00605590" w:rsidRDefault="00DC5DE4" w:rsidP="0047189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47189B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856B2C" w:rsidRPr="0047189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47189B">
              <w:rPr>
                <w:rFonts w:ascii="Liberation Serif" w:hAnsi="Liberation Serif" w:cs="Liberation Serif"/>
                <w:sz w:val="24"/>
              </w:rPr>
              <w:t>п</w:t>
            </w:r>
            <w:r w:rsidR="0047189B" w:rsidRPr="0047189B">
              <w:rPr>
                <w:rFonts w:ascii="Liberation Serif" w:hAnsi="Liberation Serif" w:cs="Liberation Serif"/>
                <w:sz w:val="24"/>
              </w:rPr>
              <w:t>лата за</w:t>
            </w:r>
            <w:r w:rsidR="0047189B" w:rsidRPr="0047189B">
              <w:rPr>
                <w:sz w:val="24"/>
              </w:rPr>
              <w:t xml:space="preserve"> </w:t>
            </w:r>
            <w:r w:rsidR="00856B2C" w:rsidRPr="00856B2C">
              <w:rPr>
                <w:rFonts w:ascii="Liberation Serif" w:hAnsi="Liberation Serif" w:cs="Liberation Serif"/>
                <w:sz w:val="24"/>
                <w:szCs w:val="24"/>
              </w:rPr>
              <w:t>предоставл</w:t>
            </w:r>
            <w:r w:rsidR="0047189B">
              <w:rPr>
                <w:rFonts w:ascii="Liberation Serif" w:hAnsi="Liberation Serif" w:cs="Liberation Serif"/>
                <w:sz w:val="24"/>
                <w:szCs w:val="24"/>
              </w:rPr>
              <w:t>ение услуги не взимается</w:t>
            </w:r>
            <w:r w:rsidR="00856B2C" w:rsidRPr="00856B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93291">
              <w:t xml:space="preserve"> </w:t>
            </w:r>
          </w:p>
        </w:tc>
        <w:tc>
          <w:tcPr>
            <w:tcW w:w="2668" w:type="dxa"/>
            <w:gridSpan w:val="3"/>
          </w:tcPr>
          <w:p w:rsidR="00DC5DE4" w:rsidRPr="00605590" w:rsidRDefault="0047189B" w:rsidP="0047189B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189B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47189B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668" w:type="dxa"/>
            <w:gridSpan w:val="3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668" w:type="dxa"/>
            <w:gridSpan w:val="3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542"/>
        </w:trPr>
        <w:tc>
          <w:tcPr>
            <w:tcW w:w="842" w:type="dxa"/>
            <w:gridSpan w:val="2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668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856B2C">
        <w:trPr>
          <w:trHeight w:val="321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668" w:type="dxa"/>
            <w:gridSpan w:val="3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668" w:type="dxa"/>
            <w:gridSpan w:val="3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668" w:type="dxa"/>
            <w:gridSpan w:val="3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668" w:type="dxa"/>
            <w:gridSpan w:val="3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668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668" w:type="dxa"/>
            <w:gridSpan w:val="3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668" w:type="dxa"/>
            <w:gridSpan w:val="3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668" w:type="dxa"/>
            <w:gridSpan w:val="3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05590" w:rsidRDefault="00DC5DE4" w:rsidP="0047189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</w:t>
            </w:r>
            <w:r w:rsidR="0047189B">
              <w:t xml:space="preserve"> </w:t>
            </w:r>
            <w:r w:rsidR="0047189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47189B" w:rsidRPr="0047189B">
              <w:rPr>
                <w:rFonts w:ascii="Liberation Serif" w:hAnsi="Liberation Serif" w:cs="Liberation Serif"/>
                <w:sz w:val="24"/>
                <w:szCs w:val="24"/>
              </w:rPr>
              <w:t>тдел</w:t>
            </w:r>
            <w:r w:rsidR="0047189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47189B" w:rsidRPr="0047189B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856B2C">
        <w:trPr>
          <w:trHeight w:val="1837"/>
        </w:trPr>
        <w:tc>
          <w:tcPr>
            <w:tcW w:w="225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2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101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C5DE4" w:rsidRPr="006D0AF2" w:rsidTr="00856B2C">
        <w:trPr>
          <w:trHeight w:val="1346"/>
        </w:trPr>
        <w:tc>
          <w:tcPr>
            <w:tcW w:w="2255" w:type="dxa"/>
            <w:gridSpan w:val="5"/>
            <w:vMerge w:val="restart"/>
          </w:tcPr>
          <w:p w:rsidR="00DC5DE4" w:rsidRPr="006D0AF2" w:rsidRDefault="00093291" w:rsidP="00856B2C">
            <w:pPr>
              <w:pStyle w:val="ConsPlusNormal"/>
              <w:tabs>
                <w:tab w:val="left" w:pos="2127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291">
              <w:rPr>
                <w:rFonts w:ascii="Liberation Serif" w:hAnsi="Liberation Serif" w:cs="Liberation Serif"/>
                <w:sz w:val="24"/>
                <w:szCs w:val="24"/>
              </w:rPr>
              <w:t xml:space="preserve">плата за предоставление </w:t>
            </w:r>
            <w:r w:rsidR="00856B2C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 не взимается</w:t>
            </w:r>
          </w:p>
        </w:tc>
        <w:tc>
          <w:tcPr>
            <w:tcW w:w="3125" w:type="dxa"/>
            <w:gridSpan w:val="5"/>
            <w:vMerge w:val="restart"/>
          </w:tcPr>
          <w:p w:rsidR="006300BA" w:rsidRPr="006D0AF2" w:rsidRDefault="006300BA" w:rsidP="009629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и 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изические лица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62956">
              <w:t xml:space="preserve"> </w:t>
            </w:r>
            <w:r w:rsidR="00962956" w:rsidRPr="00962956">
              <w:rPr>
                <w:rFonts w:ascii="Liberation Serif" w:hAnsi="Liberation Serif" w:cs="Liberation Serif"/>
                <w:sz w:val="24"/>
                <w:szCs w:val="24"/>
              </w:rPr>
              <w:t>в том числе индивидуальные предприниматели</w:t>
            </w:r>
          </w:p>
        </w:tc>
        <w:tc>
          <w:tcPr>
            <w:tcW w:w="2266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  <w:r w:rsidR="00093291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75243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74C" w:rsidRPr="006D0AF2" w:rsidRDefault="0040774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5DE4" w:rsidRPr="006D0AF2" w:rsidRDefault="0047189B" w:rsidP="00093291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</w:tr>
      <w:tr w:rsidR="00DC5DE4" w:rsidRPr="006D0AF2" w:rsidTr="00856B2C">
        <w:trPr>
          <w:trHeight w:val="56"/>
        </w:trPr>
        <w:tc>
          <w:tcPr>
            <w:tcW w:w="225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C5DE4" w:rsidRDefault="00E3358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  <w:p w:rsidR="00093291" w:rsidRPr="006D0AF2" w:rsidRDefault="00093291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5DE4" w:rsidRPr="006D0AF2" w:rsidRDefault="0047189B" w:rsidP="00093291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189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отсутствует</w:t>
            </w:r>
          </w:p>
        </w:tc>
      </w:tr>
      <w:tr w:rsidR="00605590" w:rsidRPr="006D0AF2" w:rsidTr="00856B2C">
        <w:trPr>
          <w:trHeight w:val="265"/>
        </w:trPr>
        <w:tc>
          <w:tcPr>
            <w:tcW w:w="675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971" w:type="dxa"/>
            <w:gridSpan w:val="13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01" w:type="dxa"/>
            <w:gridSpan w:val="2"/>
          </w:tcPr>
          <w:p w:rsidR="00605590" w:rsidRPr="00093291" w:rsidRDefault="00093291" w:rsidP="00093291">
            <w:pPr>
              <w:ind w:firstLine="151"/>
              <w:jc w:val="center"/>
              <w:rPr>
                <w:rFonts w:ascii="Liberation Serif" w:hAnsi="Liberation Serif" w:cs="Liberation Serif"/>
              </w:rPr>
            </w:pPr>
            <w:r w:rsidRPr="00093291">
              <w:rPr>
                <w:rFonts w:ascii="Liberation Serif" w:hAnsi="Liberation Serif" w:cs="Liberation Serif"/>
              </w:rPr>
              <w:t>0</w:t>
            </w:r>
          </w:p>
        </w:tc>
      </w:tr>
      <w:tr w:rsidR="00605590" w:rsidRPr="006D0AF2" w:rsidTr="00856B2C">
        <w:trPr>
          <w:trHeight w:val="276"/>
        </w:trPr>
        <w:tc>
          <w:tcPr>
            <w:tcW w:w="675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971" w:type="dxa"/>
            <w:gridSpan w:val="13"/>
            <w:tcBorders>
              <w:bottom w:val="single" w:sz="4" w:space="0" w:color="auto"/>
            </w:tcBorders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605590" w:rsidRPr="00093291" w:rsidRDefault="00093291" w:rsidP="00093291">
            <w:pPr>
              <w:ind w:firstLine="151"/>
              <w:jc w:val="center"/>
              <w:rPr>
                <w:rFonts w:ascii="Liberation Serif" w:hAnsi="Liberation Serif" w:cs="Liberation Serif"/>
              </w:rPr>
            </w:pPr>
            <w:r w:rsidRPr="00093291">
              <w:rPr>
                <w:rFonts w:ascii="Liberation Serif" w:hAnsi="Liberation Serif" w:cs="Liberation Serif"/>
              </w:rPr>
              <w:t>0</w:t>
            </w:r>
          </w:p>
        </w:tc>
      </w:tr>
      <w:tr w:rsidR="00DC5DE4" w:rsidRPr="006D0AF2" w:rsidTr="00856B2C">
        <w:trPr>
          <w:trHeight w:val="276"/>
        </w:trPr>
        <w:tc>
          <w:tcPr>
            <w:tcW w:w="675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72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  <w:r w:rsidR="00E3358D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856B2C">
        <w:trPr>
          <w:trHeight w:val="215"/>
        </w:trPr>
        <w:tc>
          <w:tcPr>
            <w:tcW w:w="675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554"/>
        </w:trPr>
        <w:tc>
          <w:tcPr>
            <w:tcW w:w="675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72" w:type="dxa"/>
            <w:gridSpan w:val="15"/>
            <w:tcBorders>
              <w:bottom w:val="nil"/>
            </w:tcBorders>
          </w:tcPr>
          <w:p w:rsidR="00700AAE" w:rsidRPr="006D0AF2" w:rsidRDefault="00DC5DE4" w:rsidP="00856B2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3358D">
              <w:t xml:space="preserve"> 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>повышения качества предоставления и доступности муниципальной услуги, создани</w:t>
            </w:r>
            <w:r w:rsidR="00E3358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 xml:space="preserve"> комфортных условий для получателей. Настоящий регламент определяет сроки и последовательность действий при предоставлении муниципальной услуги.</w:t>
            </w:r>
          </w:p>
        </w:tc>
      </w:tr>
      <w:tr w:rsidR="00DC5DE4" w:rsidRPr="006D0AF2" w:rsidTr="00856B2C">
        <w:trPr>
          <w:trHeight w:val="70"/>
        </w:trPr>
        <w:tc>
          <w:tcPr>
            <w:tcW w:w="675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43"/>
        </w:trPr>
        <w:tc>
          <w:tcPr>
            <w:tcW w:w="675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72" w:type="dxa"/>
            <w:gridSpan w:val="15"/>
            <w:tcBorders>
              <w:bottom w:val="nil"/>
            </w:tcBorders>
          </w:tcPr>
          <w:p w:rsidR="00DC5DE4" w:rsidRPr="006D0AF2" w:rsidRDefault="00DC5DE4" w:rsidP="00856B2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</w:t>
            </w:r>
            <w:r w:rsidR="00856B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E3358D">
              <w:t xml:space="preserve"> 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856B2C">
        <w:trPr>
          <w:trHeight w:val="168"/>
        </w:trPr>
        <w:tc>
          <w:tcPr>
            <w:tcW w:w="675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675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72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47189B">
              <w:t xml:space="preserve"> </w:t>
            </w:r>
            <w:r w:rsidR="0047189B" w:rsidRPr="0047189B">
              <w:rPr>
                <w:rFonts w:ascii="Liberation Serif" w:hAnsi="Liberation Serif" w:cs="Liberation Serif"/>
                <w:sz w:val="24"/>
                <w:szCs w:val="24"/>
              </w:rPr>
              <w:t>данные  отдела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204"/>
        </w:trPr>
        <w:tc>
          <w:tcPr>
            <w:tcW w:w="675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5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555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856B2C">
        <w:trPr>
          <w:trHeight w:val="705"/>
        </w:trPr>
        <w:tc>
          <w:tcPr>
            <w:tcW w:w="2255" w:type="dxa"/>
            <w:gridSpan w:val="5"/>
          </w:tcPr>
          <w:p w:rsidR="00DC5DE4" w:rsidRPr="006D0AF2" w:rsidRDefault="00DC5DE4" w:rsidP="00EE707A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EE707A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C5DE4" w:rsidRPr="006D0AF2" w:rsidRDefault="00DC5DE4" w:rsidP="00EE707A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6"/>
          </w:tcPr>
          <w:p w:rsidR="00DC5DE4" w:rsidRPr="006D0AF2" w:rsidRDefault="00DC5DE4" w:rsidP="00EE707A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101" w:type="dxa"/>
            <w:gridSpan w:val="2"/>
          </w:tcPr>
          <w:p w:rsidR="00DC5DE4" w:rsidRPr="006D0AF2" w:rsidRDefault="00DC5DE4" w:rsidP="00EE707A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856B2C">
        <w:trPr>
          <w:trHeight w:val="450"/>
        </w:trPr>
        <w:tc>
          <w:tcPr>
            <w:tcW w:w="2255" w:type="dxa"/>
            <w:gridSpan w:val="5"/>
          </w:tcPr>
          <w:p w:rsidR="00DC5DE4" w:rsidRPr="006D0AF2" w:rsidRDefault="00700AAE" w:rsidP="00EE707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отрицательны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последстви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я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35" w:type="dxa"/>
            <w:gridSpan w:val="3"/>
          </w:tcPr>
          <w:p w:rsidR="00DC5DE4" w:rsidRPr="006D0AF2" w:rsidRDefault="0047189B" w:rsidP="00EE707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2556" w:type="dxa"/>
            <w:gridSpan w:val="6"/>
          </w:tcPr>
          <w:p w:rsidR="00DC5DE4" w:rsidRPr="006D0AF2" w:rsidRDefault="00700AAE" w:rsidP="00EE707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положительны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последстви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заключаются в повышении качества и доступности предоставления услуги, сокращения сроков и административных процедур. </w:t>
            </w:r>
          </w:p>
        </w:tc>
        <w:tc>
          <w:tcPr>
            <w:tcW w:w="2101" w:type="dxa"/>
            <w:gridSpan w:val="2"/>
          </w:tcPr>
          <w:p w:rsidR="00DC5DE4" w:rsidRPr="006D0AF2" w:rsidRDefault="0047189B" w:rsidP="00EE707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189B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4D017D" w:rsidRPr="006D0AF2" w:rsidRDefault="00DC5DE4" w:rsidP="00E66DF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данные отсутствуют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7189B">
              <w:t xml:space="preserve"> </w:t>
            </w:r>
            <w:r w:rsidR="0047189B" w:rsidRPr="0047189B">
              <w:rPr>
                <w:rFonts w:ascii="Liberation Serif" w:hAnsi="Liberation Serif" w:cs="Liberation Serif"/>
                <w:sz w:val="24"/>
                <w:szCs w:val="24"/>
              </w:rPr>
              <w:t>данные  отдела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274"/>
        </w:trPr>
        <w:tc>
          <w:tcPr>
            <w:tcW w:w="9747" w:type="dxa"/>
            <w:gridSpan w:val="16"/>
          </w:tcPr>
          <w:p w:rsidR="00093291" w:rsidRDefault="00DC5DE4" w:rsidP="00E3358D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</w:t>
            </w:r>
            <w:proofErr w:type="gramStart"/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 w:rsidRPr="00E3358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  <w:p w:rsidR="003B4A43" w:rsidRDefault="003B4A43" w:rsidP="003B4A4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3B4A43" w:rsidRDefault="003B4A43" w:rsidP="003B4A4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3B4A43" w:rsidRPr="006D0AF2" w:rsidRDefault="003B4A43" w:rsidP="003B4A4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C5DE4" w:rsidRPr="006D0AF2" w:rsidTr="003B4A43">
        <w:trPr>
          <w:trHeight w:val="274"/>
        </w:trPr>
        <w:tc>
          <w:tcPr>
            <w:tcW w:w="4786" w:type="dxa"/>
            <w:gridSpan w:val="7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1701" w:type="dxa"/>
            <w:gridSpan w:val="4"/>
          </w:tcPr>
          <w:p w:rsidR="00DC5DE4" w:rsidRPr="006D0AF2" w:rsidRDefault="00DC5DE4" w:rsidP="00E3358D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260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3B4A43">
        <w:trPr>
          <w:trHeight w:val="564"/>
        </w:trPr>
        <w:tc>
          <w:tcPr>
            <w:tcW w:w="4786" w:type="dxa"/>
            <w:gridSpan w:val="7"/>
          </w:tcPr>
          <w:p w:rsidR="00021B3F" w:rsidRDefault="00021B3F" w:rsidP="0047189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7189B" w:rsidRPr="0047189B" w:rsidRDefault="0047189B" w:rsidP="003B4A43">
            <w:pPr>
              <w:autoSpaceDE w:val="0"/>
              <w:autoSpaceDN w:val="0"/>
              <w:adjustRightInd w:val="0"/>
              <w:ind w:firstLine="426"/>
              <w:jc w:val="left"/>
              <w:rPr>
                <w:rFonts w:ascii="Liberation Serif" w:hAnsi="Liberation Serif" w:cs="Liberation Serif"/>
                <w:sz w:val="24"/>
                <w:szCs w:val="28"/>
              </w:rPr>
            </w:pPr>
            <w:r w:rsidRPr="0047189B">
              <w:rPr>
                <w:rFonts w:ascii="Liberation Serif" w:hAnsi="Liberation Serif" w:cs="Liberation Serif"/>
                <w:sz w:val="24"/>
                <w:szCs w:val="28"/>
              </w:rPr>
              <w:t xml:space="preserve">Текущий контроль надлежащего исполнения служебных обязанностей при предоставлении муниципальной услуги, предусмотренной настоящим </w:t>
            </w:r>
            <w:r w:rsidR="003B4A43">
              <w:rPr>
                <w:rFonts w:ascii="Liberation Serif" w:hAnsi="Liberation Serif" w:cs="Liberation Serif"/>
                <w:sz w:val="24"/>
                <w:szCs w:val="28"/>
              </w:rPr>
              <w:t>р</w:t>
            </w:r>
            <w:r w:rsidRPr="0047189B">
              <w:rPr>
                <w:rFonts w:ascii="Liberation Serif" w:hAnsi="Liberation Serif" w:cs="Liberation Serif"/>
                <w:sz w:val="24"/>
                <w:szCs w:val="28"/>
              </w:rPr>
              <w:t>егламентом, осуществляется начальником отдела.</w:t>
            </w:r>
          </w:p>
          <w:p w:rsidR="0047189B" w:rsidRDefault="0047189B" w:rsidP="0047189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47189B">
              <w:rPr>
                <w:rFonts w:ascii="Liberation Serif" w:hAnsi="Liberation Serif" w:cs="Liberation Serif"/>
                <w:sz w:val="24"/>
                <w:szCs w:val="28"/>
              </w:rPr>
              <w:t xml:space="preserve">Текущий контроль осуществляется путем проведения проверок исполнения специалистами (должностными лицами) отдела положений настоящего </w:t>
            </w:r>
            <w:r w:rsidR="003B4A43">
              <w:rPr>
                <w:rFonts w:ascii="Liberation Serif" w:hAnsi="Liberation Serif" w:cs="Liberation Serif"/>
                <w:sz w:val="24"/>
                <w:szCs w:val="28"/>
              </w:rPr>
              <w:t>р</w:t>
            </w:r>
            <w:r w:rsidRPr="0047189B">
              <w:rPr>
                <w:rFonts w:ascii="Liberation Serif" w:hAnsi="Liberation Serif" w:cs="Liberation Serif"/>
                <w:sz w:val="24"/>
                <w:szCs w:val="28"/>
              </w:rPr>
              <w:t>егламента, нормативных правовых актов Российской Федерации и (или) Свердловской области</w:t>
            </w:r>
          </w:p>
          <w:p w:rsidR="00E3358D" w:rsidRDefault="00E3358D" w:rsidP="0047189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B4A43" w:rsidRPr="003B4A43" w:rsidRDefault="00E3358D" w:rsidP="003B4A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8"/>
              </w:rPr>
            </w:pPr>
            <w:r w:rsidRPr="003B4A43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      </w:t>
            </w:r>
            <w:r w:rsidR="003B4A43" w:rsidRPr="003B4A43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proofErr w:type="gramStart"/>
            <w:r w:rsidR="003B4A43" w:rsidRPr="003B4A43">
              <w:rPr>
                <w:rFonts w:ascii="Liberation Serif" w:hAnsi="Liberation Serif" w:cs="Liberation Serif"/>
                <w:sz w:val="24"/>
                <w:szCs w:val="28"/>
              </w:rPr>
              <w:t xml:space="preserve">В целях участия в осуществлении контроля за исполнением настоящего </w:t>
            </w:r>
            <w:r w:rsidR="003B4A43">
              <w:rPr>
                <w:rFonts w:ascii="Liberation Serif" w:hAnsi="Liberation Serif" w:cs="Liberation Serif"/>
                <w:sz w:val="24"/>
                <w:szCs w:val="28"/>
              </w:rPr>
              <w:t>р</w:t>
            </w:r>
            <w:r w:rsidR="003B4A43" w:rsidRPr="003B4A43">
              <w:rPr>
                <w:rFonts w:ascii="Liberation Serif" w:hAnsi="Liberation Serif" w:cs="Liberation Serif"/>
                <w:sz w:val="24"/>
                <w:szCs w:val="28"/>
              </w:rPr>
              <w:t>егламента граждане, их объединения и организации вправе обращаться к начальнику отдела, Главе Городского округа «город Ирбит» Свердловской области по вопросам, касающи</w:t>
            </w:r>
            <w:r w:rsidR="003B4A43">
              <w:rPr>
                <w:rFonts w:ascii="Liberation Serif" w:hAnsi="Liberation Serif" w:cs="Liberation Serif"/>
                <w:sz w:val="24"/>
                <w:szCs w:val="28"/>
              </w:rPr>
              <w:t>м</w:t>
            </w:r>
            <w:r w:rsidR="003B4A43" w:rsidRPr="003B4A43">
              <w:rPr>
                <w:rFonts w:ascii="Liberation Serif" w:hAnsi="Liberation Serif" w:cs="Liberation Serif"/>
                <w:sz w:val="24"/>
                <w:szCs w:val="28"/>
              </w:rPr>
              <w:t xml:space="preserve">ся исполнения специалистами (должностными лицами) отдела положений </w:t>
            </w:r>
            <w:r w:rsidR="003B4A43">
              <w:rPr>
                <w:rFonts w:ascii="Liberation Serif" w:hAnsi="Liberation Serif" w:cs="Liberation Serif"/>
                <w:sz w:val="24"/>
                <w:szCs w:val="28"/>
              </w:rPr>
              <w:t>р</w:t>
            </w:r>
            <w:r w:rsidR="003B4A43" w:rsidRPr="003B4A43">
              <w:rPr>
                <w:rFonts w:ascii="Liberation Serif" w:hAnsi="Liberation Serif" w:cs="Liberation Serif"/>
                <w:sz w:val="24"/>
                <w:szCs w:val="28"/>
              </w:rPr>
              <w:t xml:space="preserve">егламента, инициировать проведение проверок исполнения положений </w:t>
            </w:r>
            <w:r w:rsidR="003B4A43">
              <w:rPr>
                <w:rFonts w:ascii="Liberation Serif" w:hAnsi="Liberation Serif" w:cs="Liberation Serif"/>
                <w:sz w:val="24"/>
                <w:szCs w:val="28"/>
              </w:rPr>
              <w:t>р</w:t>
            </w:r>
            <w:r w:rsidR="003B4A43" w:rsidRPr="003B4A43">
              <w:rPr>
                <w:rFonts w:ascii="Liberation Serif" w:hAnsi="Liberation Serif" w:cs="Liberation Serif"/>
                <w:sz w:val="24"/>
                <w:szCs w:val="28"/>
              </w:rPr>
              <w:t>егламента, осуществлять иные предусмотренные законодательством Российской Федерации и (или) Свердловской области права.</w:t>
            </w:r>
            <w:proofErr w:type="gramEnd"/>
          </w:p>
          <w:p w:rsidR="00021B3F" w:rsidRPr="006D0AF2" w:rsidRDefault="00021B3F" w:rsidP="0047189B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52432" w:rsidRPr="00E3358D" w:rsidRDefault="00752432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358D">
              <w:rPr>
                <w:rFonts w:ascii="Liberation Serif" w:hAnsi="Liberation Serif" w:cs="Liberation Serif"/>
                <w:sz w:val="24"/>
                <w:szCs w:val="24"/>
              </w:rPr>
              <w:t>Нарушений не выявлено</w:t>
            </w: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856B2C" w:rsidRDefault="00856B2C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DC5DE4" w:rsidRPr="00E3358D" w:rsidRDefault="00E3358D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3358D">
              <w:rPr>
                <w:rFonts w:ascii="Liberation Serif" w:hAnsi="Liberation Serif"/>
                <w:sz w:val="24"/>
                <w:szCs w:val="24"/>
                <w:lang w:eastAsia="ru-RU"/>
              </w:rPr>
              <w:t>Жалоб от граждан не поступало</w:t>
            </w:r>
          </w:p>
        </w:tc>
        <w:tc>
          <w:tcPr>
            <w:tcW w:w="3260" w:type="dxa"/>
            <w:gridSpan w:val="5"/>
          </w:tcPr>
          <w:p w:rsidR="00DC5DE4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DC5DE4" w:rsidRPr="006D0AF2">
              <w:rPr>
                <w:rFonts w:ascii="Liberation Serif" w:hAnsi="Liberation Serif" w:cs="Liberation Serif"/>
                <w:sz w:val="24"/>
                <w:szCs w:val="24"/>
              </w:rPr>
              <w:t>асход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40774C">
              <w:rPr>
                <w:rFonts w:ascii="Liberation Serif" w:hAnsi="Liberation Serif" w:cs="Liberation Serif"/>
                <w:sz w:val="24"/>
                <w:szCs w:val="24"/>
              </w:rPr>
              <w:t xml:space="preserve"> (поступления)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4D017D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B25DF5" w:rsidRPr="004D017D" w:rsidRDefault="00B25DF5" w:rsidP="00093291">
            <w:pPr>
              <w:rPr>
                <w:lang w:eastAsia="ru-RU"/>
              </w:rPr>
            </w:pPr>
          </w:p>
        </w:tc>
      </w:tr>
      <w:tr w:rsidR="00DC5DE4" w:rsidRPr="006D0AF2" w:rsidTr="00856B2C">
        <w:trPr>
          <w:trHeight w:val="542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8905" w:type="dxa"/>
            <w:gridSpan w:val="1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856B2C">
        <w:trPr>
          <w:trHeight w:val="586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905" w:type="dxa"/>
            <w:gridSpan w:val="14"/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  <w:p w:rsidR="006337A2" w:rsidRPr="006D0AF2" w:rsidRDefault="006337A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19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C5DE4" w:rsidRPr="006D0AF2" w:rsidTr="003B4A43">
        <w:trPr>
          <w:trHeight w:val="1084"/>
        </w:trPr>
        <w:tc>
          <w:tcPr>
            <w:tcW w:w="1688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1964" w:type="dxa"/>
            <w:gridSpan w:val="2"/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  <w:p w:rsidR="000241AE" w:rsidRPr="006D0AF2" w:rsidRDefault="000241A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560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417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559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6D0AF2" w:rsidTr="003B4A43">
        <w:trPr>
          <w:trHeight w:val="265"/>
        </w:trPr>
        <w:tc>
          <w:tcPr>
            <w:tcW w:w="1688" w:type="dxa"/>
            <w:gridSpan w:val="4"/>
            <w:vMerge w:val="restart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качества  предоставления услуги</w:t>
            </w:r>
          </w:p>
        </w:tc>
        <w:tc>
          <w:tcPr>
            <w:tcW w:w="1964" w:type="dxa"/>
            <w:gridSpan w:val="2"/>
          </w:tcPr>
          <w:p w:rsidR="00DC5DE4" w:rsidRDefault="003B4A43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Максимальное время ожидания в очереди</w:t>
            </w:r>
          </w:p>
          <w:p w:rsidR="003B4A43" w:rsidRPr="006D0AF2" w:rsidRDefault="003B4A43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gridSpan w:val="3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</w:tcPr>
          <w:p w:rsidR="00DC5DE4" w:rsidRPr="006D0AF2" w:rsidRDefault="003B4A43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15 минут</w:t>
            </w:r>
          </w:p>
        </w:tc>
        <w:tc>
          <w:tcPr>
            <w:tcW w:w="1559" w:type="dxa"/>
          </w:tcPr>
          <w:p w:rsidR="00DC5DE4" w:rsidRPr="006D0AF2" w:rsidRDefault="003B4A43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4A43">
              <w:rPr>
                <w:rFonts w:ascii="Liberation Serif" w:hAnsi="Liberation Serif" w:cs="Liberation Serif"/>
                <w:sz w:val="24"/>
                <w:szCs w:val="24"/>
              </w:rPr>
              <w:t>Не более 15 минут</w:t>
            </w:r>
          </w:p>
        </w:tc>
      </w:tr>
      <w:tr w:rsidR="00B25DF5" w:rsidRPr="006D0AF2" w:rsidTr="003B4A43">
        <w:trPr>
          <w:trHeight w:val="265"/>
        </w:trPr>
        <w:tc>
          <w:tcPr>
            <w:tcW w:w="1688" w:type="dxa"/>
            <w:gridSpan w:val="4"/>
            <w:vMerge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25DF5" w:rsidRPr="006D0AF2" w:rsidRDefault="00B25DF5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Установление сроков предоставления услуги</w:t>
            </w:r>
          </w:p>
        </w:tc>
        <w:tc>
          <w:tcPr>
            <w:tcW w:w="1559" w:type="dxa"/>
            <w:gridSpan w:val="3"/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gridSpan w:val="3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</w:tcPr>
          <w:p w:rsidR="00B25DF5" w:rsidRPr="006D0AF2" w:rsidRDefault="003B4A43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раб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.д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1559" w:type="dxa"/>
          </w:tcPr>
          <w:p w:rsidR="00B25DF5" w:rsidRPr="006D0AF2" w:rsidRDefault="003B4A43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4A43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  <w:proofErr w:type="spellStart"/>
            <w:r w:rsidRPr="003B4A43">
              <w:rPr>
                <w:rFonts w:ascii="Liberation Serif" w:hAnsi="Liberation Serif" w:cs="Liberation Serif"/>
                <w:sz w:val="24"/>
                <w:szCs w:val="24"/>
              </w:rPr>
              <w:t>раб</w:t>
            </w:r>
            <w:proofErr w:type="gramStart"/>
            <w:r w:rsidRPr="003B4A43">
              <w:rPr>
                <w:rFonts w:ascii="Liberation Serif" w:hAnsi="Liberation Serif" w:cs="Liberation Serif"/>
                <w:sz w:val="24"/>
                <w:szCs w:val="24"/>
              </w:rPr>
              <w:t>.д</w:t>
            </w:r>
            <w:proofErr w:type="gramEnd"/>
            <w:r w:rsidRPr="003B4A43">
              <w:rPr>
                <w:rFonts w:ascii="Liberation Serif" w:hAnsi="Liberation Serif" w:cs="Liberation Serif"/>
                <w:sz w:val="24"/>
                <w:szCs w:val="24"/>
              </w:rPr>
              <w:t>ней</w:t>
            </w:r>
            <w:proofErr w:type="spellEnd"/>
          </w:p>
        </w:tc>
      </w:tr>
      <w:tr w:rsidR="00B25DF5" w:rsidRPr="006D0AF2" w:rsidTr="003B4A43">
        <w:trPr>
          <w:trHeight w:val="265"/>
        </w:trPr>
        <w:tc>
          <w:tcPr>
            <w:tcW w:w="1668" w:type="dxa"/>
            <w:gridSpan w:val="3"/>
            <w:tcBorders>
              <w:top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093291" w:rsidRPr="006D0AF2" w:rsidRDefault="00B25DF5" w:rsidP="003B4A4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Последовательность административных процедур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856B2C">
        <w:trPr>
          <w:trHeight w:val="265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данных: </w:t>
            </w:r>
            <w:r w:rsidR="003B4A43">
              <w:t xml:space="preserve"> </w:t>
            </w:r>
            <w:r w:rsidR="003B4A43" w:rsidRPr="003B4A43">
              <w:rPr>
                <w:rFonts w:ascii="Liberation Serif" w:hAnsi="Liberation Serif" w:cs="Liberation Serif"/>
                <w:sz w:val="24"/>
                <w:szCs w:val="24"/>
              </w:rPr>
              <w:t>данные  отдела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6"/>
          </w:tcPr>
          <w:p w:rsidR="003B4A43" w:rsidRDefault="00DC5DE4" w:rsidP="003B4A4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</w:t>
            </w:r>
          </w:p>
          <w:p w:rsidR="00DC5DE4" w:rsidRPr="006D0AF2" w:rsidRDefault="00DC5DE4" w:rsidP="003B4A4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публичного обсуждения</w:t>
            </w:r>
          </w:p>
        </w:tc>
      </w:tr>
      <w:tr w:rsidR="00DC5DE4" w:rsidRPr="006D0AF2" w:rsidTr="00856B2C">
        <w:trPr>
          <w:trHeight w:val="566"/>
        </w:trPr>
        <w:tc>
          <w:tcPr>
            <w:tcW w:w="9747" w:type="dxa"/>
            <w:gridSpan w:val="16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856B2C">
        <w:trPr>
          <w:trHeight w:val="831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905" w:type="dxa"/>
            <w:gridSpan w:val="1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905" w:type="dxa"/>
            <w:gridSpan w:val="14"/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3AE9">
              <w:t xml:space="preserve"> </w:t>
            </w:r>
          </w:p>
        </w:tc>
      </w:tr>
      <w:tr w:rsidR="00DC5DE4" w:rsidRPr="006D0AF2" w:rsidTr="00856B2C">
        <w:trPr>
          <w:trHeight w:val="542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905" w:type="dxa"/>
            <w:gridSpan w:val="14"/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629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905" w:type="dxa"/>
            <w:gridSpan w:val="14"/>
            <w:tcBorders>
              <w:bottom w:val="single" w:sz="4" w:space="0" w:color="auto"/>
            </w:tcBorders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146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130"/>
        </w:trPr>
        <w:tc>
          <w:tcPr>
            <w:tcW w:w="9747" w:type="dxa"/>
            <w:gridSpan w:val="16"/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7058EA" w:rsidRPr="006D0AF2" w:rsidRDefault="007058EA" w:rsidP="00414DF9">
            <w:pPr>
              <w:pStyle w:val="ConsPlusNormal"/>
              <w:tabs>
                <w:tab w:val="left" w:pos="1875"/>
              </w:tabs>
              <w:spacing w:line="235" w:lineRule="auto"/>
              <w:ind w:left="72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3B4A43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целей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7058EA" w:rsidRPr="007058EA" w:rsidRDefault="00DC5DE4" w:rsidP="00F47487">
            <w:pPr>
              <w:ind w:firstLine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20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  <w:r w:rsidR="007058EA"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2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6"/>
          </w:tcPr>
          <w:p w:rsidR="003B4A43" w:rsidRPr="006D0AF2" w:rsidRDefault="00DC5DE4" w:rsidP="000241AE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41AE">
              <w:rPr>
                <w:rFonts w:ascii="Liberation Serif" w:hAnsi="Liberation Serif" w:cs="Liberation Serif"/>
                <w:b/>
                <w:sz w:val="24"/>
                <w:szCs w:val="24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  <w:bookmarkStart w:id="1" w:name="_GoBack"/>
            <w:bookmarkEnd w:id="1"/>
          </w:p>
        </w:tc>
      </w:tr>
      <w:tr w:rsidR="00DC5DE4" w:rsidRPr="006D0AF2" w:rsidTr="00856B2C">
        <w:trPr>
          <w:trHeight w:val="265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856B2C">
        <w:trPr>
          <w:trHeight w:val="2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856B2C">
        <w:trPr>
          <w:trHeight w:val="2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905" w:type="dxa"/>
            <w:gridSpan w:val="14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856B2C">
        <w:trPr>
          <w:trHeight w:val="23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4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F91355" w:rsidRDefault="00F91355"/>
    <w:sectPr w:rsidR="00F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241AE"/>
    <w:rsid w:val="0005249E"/>
    <w:rsid w:val="00093291"/>
    <w:rsid w:val="000D13B9"/>
    <w:rsid w:val="001127EE"/>
    <w:rsid w:val="00230BDE"/>
    <w:rsid w:val="00231E4B"/>
    <w:rsid w:val="002B3AE9"/>
    <w:rsid w:val="003828AF"/>
    <w:rsid w:val="00397A65"/>
    <w:rsid w:val="003B4A43"/>
    <w:rsid w:val="0040774C"/>
    <w:rsid w:val="00414DF9"/>
    <w:rsid w:val="00416E4A"/>
    <w:rsid w:val="00445443"/>
    <w:rsid w:val="0044773E"/>
    <w:rsid w:val="0047189B"/>
    <w:rsid w:val="004C63DD"/>
    <w:rsid w:val="004D017D"/>
    <w:rsid w:val="005A0B23"/>
    <w:rsid w:val="00605590"/>
    <w:rsid w:val="006300BA"/>
    <w:rsid w:val="006337A2"/>
    <w:rsid w:val="006B6474"/>
    <w:rsid w:val="006D1D54"/>
    <w:rsid w:val="00700AAE"/>
    <w:rsid w:val="00703908"/>
    <w:rsid w:val="007058EA"/>
    <w:rsid w:val="00752432"/>
    <w:rsid w:val="00813EC8"/>
    <w:rsid w:val="008458B5"/>
    <w:rsid w:val="00850615"/>
    <w:rsid w:val="00856B2C"/>
    <w:rsid w:val="00862A3B"/>
    <w:rsid w:val="008F218A"/>
    <w:rsid w:val="00962956"/>
    <w:rsid w:val="00995761"/>
    <w:rsid w:val="009B7152"/>
    <w:rsid w:val="009D6540"/>
    <w:rsid w:val="009F7AE4"/>
    <w:rsid w:val="00A323C5"/>
    <w:rsid w:val="00B25DF5"/>
    <w:rsid w:val="00BB24BE"/>
    <w:rsid w:val="00BC0E50"/>
    <w:rsid w:val="00BD4B1C"/>
    <w:rsid w:val="00C65055"/>
    <w:rsid w:val="00C8119D"/>
    <w:rsid w:val="00D45E89"/>
    <w:rsid w:val="00DC5DE4"/>
    <w:rsid w:val="00DD6DB8"/>
    <w:rsid w:val="00DE69F6"/>
    <w:rsid w:val="00E05C13"/>
    <w:rsid w:val="00E3358D"/>
    <w:rsid w:val="00E53F3B"/>
    <w:rsid w:val="00E66DFE"/>
    <w:rsid w:val="00E844E7"/>
    <w:rsid w:val="00E93550"/>
    <w:rsid w:val="00EE707A"/>
    <w:rsid w:val="00F47487"/>
    <w:rsid w:val="00F90475"/>
    <w:rsid w:val="00F9135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customStyle="1" w:styleId="11">
    <w:name w:val="Обычный1"/>
    <w:rsid w:val="00856B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47189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189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customStyle="1" w:styleId="11">
    <w:name w:val="Обычный1"/>
    <w:rsid w:val="00856B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47189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189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7F84-05E0-4503-A6F2-C4E0A9F7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2023-06-09T10:20:00Z</dcterms:created>
  <dcterms:modified xsi:type="dcterms:W3CDTF">2023-06-09T10:20:00Z</dcterms:modified>
</cp:coreProperties>
</file>